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47769">
      <w:pPr>
        <w:pStyle w:val="2"/>
        <w:keepNext w:val="0"/>
        <w:keepLines w:val="0"/>
        <w:pageBreakBefore w:val="0"/>
        <w:widowControl/>
        <w:pBdr>
          <w:top w:val="none" w:color="auto" w:sz="0" w:space="0"/>
          <w:left w:val="none" w:color="auto" w:sz="0" w:space="0"/>
          <w:bottom w:val="none" w:color="auto" w:sz="0" w:space="0"/>
          <w:right w:val="none" w:color="auto" w:sz="0" w:space="0"/>
        </w:pBdr>
        <w:snapToGrid/>
        <w:spacing w:before="0" w:beforeAutospacing="0" w:after="0" w:afterAutospacing="0" w:line="560" w:lineRule="exact"/>
        <w:ind w:right="0"/>
        <w:jc w:val="center"/>
        <w:outlineLvl w:val="0"/>
        <w:rPr>
          <w:rFonts w:hint="eastAsia" w:ascii="宋体" w:hAnsi="宋体" w:eastAsia="宋体" w:cs="宋体"/>
          <w:b/>
          <w:bCs w:val="0"/>
          <w:i w:val="0"/>
          <w:caps w:val="0"/>
          <w:color w:val="auto"/>
          <w:spacing w:val="-20"/>
          <w:kern w:val="0"/>
          <w:sz w:val="44"/>
          <w:szCs w:val="44"/>
        </w:rPr>
      </w:pPr>
    </w:p>
    <w:p w14:paraId="0063A28C">
      <w:pPr>
        <w:keepNext w:val="0"/>
        <w:keepLines w:val="0"/>
        <w:pageBreakBefore w:val="0"/>
        <w:widowControl w:val="0"/>
        <w:overflowPunct w:val="0"/>
        <w:snapToGrid w:val="0"/>
        <w:spacing w:line="560" w:lineRule="exact"/>
        <w:jc w:val="both"/>
        <w:outlineLvl w:val="1"/>
        <w:rPr>
          <w:rFonts w:hint="eastAsia" w:ascii="黑体" w:hAnsi="黑体" w:eastAsia="黑体" w:cs="黑体"/>
          <w:b w:val="0"/>
          <w:bCs w:val="0"/>
          <w:color w:val="auto"/>
          <w:kern w:val="2"/>
          <w:sz w:val="32"/>
          <w:szCs w:val="32"/>
          <w:lang w:val="en-US" w:eastAsia="zh-CN" w:bidi="ar-SA"/>
        </w:rPr>
      </w:pPr>
      <w:bookmarkStart w:id="3" w:name="_GoBack"/>
      <w:bookmarkEnd w:id="3"/>
      <w:r>
        <w:rPr>
          <w:rFonts w:hint="eastAsia" w:ascii="黑体" w:hAnsi="黑体" w:eastAsia="黑体" w:cs="黑体"/>
          <w:b w:val="0"/>
          <w:bCs w:val="0"/>
          <w:color w:val="auto"/>
          <w:kern w:val="2"/>
          <w:sz w:val="32"/>
          <w:szCs w:val="32"/>
          <w:lang w:val="en-US" w:eastAsia="zh-CN" w:bidi="ar-SA"/>
        </w:rPr>
        <w:t>附件2</w:t>
      </w:r>
    </w:p>
    <w:p w14:paraId="0A15E278">
      <w:pPr>
        <w:keepNext w:val="0"/>
        <w:keepLines w:val="0"/>
        <w:pageBreakBefore w:val="0"/>
        <w:widowControl w:val="0"/>
        <w:overflowPunct w:val="0"/>
        <w:snapToGrid w:val="0"/>
        <w:spacing w:line="560" w:lineRule="exact"/>
        <w:jc w:val="center"/>
        <w:outlineLvl w:val="1"/>
        <w:rPr>
          <w:rFonts w:hint="eastAsia" w:ascii="方正小标宋简体" w:hAnsi="方正小标宋简体" w:eastAsia="方正小标宋简体" w:cs="方正小标宋简体"/>
          <w:b w:val="0"/>
          <w:bCs w:val="0"/>
          <w:color w:val="auto"/>
          <w:kern w:val="2"/>
          <w:sz w:val="44"/>
          <w:szCs w:val="44"/>
          <w:lang w:val="en-US" w:eastAsia="zh-CN" w:bidi="ar-SA"/>
        </w:rPr>
      </w:pPr>
    </w:p>
    <w:p w14:paraId="2CE7D853">
      <w:pPr>
        <w:keepNext w:val="0"/>
        <w:keepLines w:val="0"/>
        <w:pageBreakBefore w:val="0"/>
        <w:widowControl w:val="0"/>
        <w:overflowPunct w:val="0"/>
        <w:snapToGrid w:val="0"/>
        <w:spacing w:line="560" w:lineRule="exact"/>
        <w:jc w:val="center"/>
        <w:outlineLvl w:val="1"/>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深圳经济特区塘朗山梅林山银湖山</w:t>
      </w:r>
    </w:p>
    <w:p w14:paraId="4E85D553">
      <w:pPr>
        <w:keepNext w:val="0"/>
        <w:keepLines w:val="0"/>
        <w:pageBreakBefore w:val="0"/>
        <w:widowControl w:val="0"/>
        <w:overflowPunct w:val="0"/>
        <w:snapToGrid w:val="0"/>
        <w:spacing w:line="560" w:lineRule="exact"/>
        <w:jc w:val="center"/>
        <w:outlineLvl w:val="1"/>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保护与利用若干规定</w:t>
      </w:r>
    </w:p>
    <w:p w14:paraId="3E9E385B">
      <w:pPr>
        <w:keepNext w:val="0"/>
        <w:keepLines w:val="0"/>
        <w:pageBreakBefore w:val="0"/>
        <w:widowControl w:val="0"/>
        <w:overflowPunct w:val="0"/>
        <w:snapToGrid w:val="0"/>
        <w:spacing w:line="560" w:lineRule="exact"/>
        <w:jc w:val="center"/>
        <w:outlineLvl w:val="1"/>
        <w:rPr>
          <w:rFonts w:hint="eastAsia" w:ascii="楷体_GB2312" w:hAnsi="楷体_GB2312" w:eastAsia="楷体_GB2312" w:cs="楷体_GB2312"/>
          <w:b w:val="0"/>
          <w:bCs w:val="0"/>
          <w:color w:val="auto"/>
          <w:kern w:val="2"/>
          <w:sz w:val="44"/>
          <w:szCs w:val="44"/>
          <w:lang w:val="en-US" w:eastAsia="zh-CN" w:bidi="ar-SA"/>
        </w:rPr>
      </w:pPr>
      <w:r>
        <w:rPr>
          <w:rFonts w:hint="eastAsia" w:ascii="楷体_GB2312" w:hAnsi="楷体_GB2312" w:eastAsia="楷体_GB2312" w:cs="楷体_GB2312"/>
          <w:b w:val="0"/>
          <w:bCs w:val="0"/>
          <w:color w:val="auto"/>
          <w:kern w:val="2"/>
          <w:sz w:val="32"/>
          <w:szCs w:val="32"/>
          <w:lang w:val="en-US" w:eastAsia="zh-CN" w:bidi="ar-SA"/>
        </w:rPr>
        <w:t>（草案）</w:t>
      </w:r>
    </w:p>
    <w:p w14:paraId="036F1FCE">
      <w:pPr>
        <w:keepNext w:val="0"/>
        <w:keepLines w:val="0"/>
        <w:pageBreakBefore w:val="0"/>
        <w:widowControl w:val="0"/>
        <w:spacing w:line="560" w:lineRule="exact"/>
        <w:jc w:val="left"/>
        <w:rPr>
          <w:rFonts w:hint="eastAsia" w:ascii="仿宋_GB2312" w:hAnsi="仿宋_GB2312" w:eastAsia="仿宋_GB2312" w:cs="仿宋_GB2312"/>
          <w:b w:val="0"/>
          <w:bCs w:val="0"/>
          <w:kern w:val="2"/>
          <w:sz w:val="21"/>
          <w:szCs w:val="24"/>
          <w:lang w:val="en-US" w:eastAsia="zh-CN" w:bidi="ar-SA"/>
        </w:rPr>
      </w:pPr>
    </w:p>
    <w:p w14:paraId="4DBF14B7">
      <w:pPr>
        <w:keepNext w:val="0"/>
        <w:keepLines w:val="0"/>
        <w:pageBreakBefore w:val="0"/>
        <w:widowControl w:val="0"/>
        <w:numPr>
          <w:ilvl w:val="0"/>
          <w:numId w:val="0"/>
        </w:numPr>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bookmarkStart w:id="0" w:name="第一条"/>
      <w:bookmarkEnd w:id="0"/>
      <w:bookmarkStart w:id="1" w:name="目录"/>
      <w:bookmarkEnd w:id="1"/>
      <w:bookmarkStart w:id="2" w:name="题注"/>
      <w:bookmarkEnd w:id="2"/>
      <w:r>
        <w:rPr>
          <w:rFonts w:hint="eastAsia" w:ascii="黑体" w:hAnsi="黑体" w:eastAsia="黑体" w:cs="黑体"/>
          <w:b w:val="0"/>
          <w:bCs w:val="0"/>
          <w:kern w:val="2"/>
          <w:sz w:val="32"/>
          <w:szCs w:val="32"/>
          <w:lang w:val="en-US" w:eastAsia="zh-CN" w:bidi="ar-SA"/>
        </w:rPr>
        <w:t xml:space="preserve">第一条 </w:t>
      </w:r>
      <w:r>
        <w:rPr>
          <w:rFonts w:hint="eastAsia" w:ascii="仿宋_GB2312" w:hAnsi="仿宋_GB2312" w:eastAsia="仿宋_GB2312" w:cs="仿宋_GB2312"/>
          <w:b w:val="0"/>
          <w:bCs w:val="0"/>
          <w:kern w:val="2"/>
          <w:sz w:val="32"/>
          <w:szCs w:val="32"/>
          <w:lang w:val="en-US" w:eastAsia="zh-CN" w:bidi="ar-SA"/>
        </w:rPr>
        <w:t>【</w:t>
      </w:r>
      <w:r>
        <w:rPr>
          <w:rFonts w:ascii="仿宋_GB2312" w:hAnsi="仿宋_GB2312" w:eastAsia="仿宋_GB2312" w:cs="仿宋_GB2312"/>
          <w:b w:val="0"/>
          <w:bCs w:val="0"/>
          <w:kern w:val="2"/>
          <w:sz w:val="32"/>
          <w:szCs w:val="32"/>
          <w:lang w:val="en-US" w:eastAsia="zh-CN" w:bidi="ar-SA"/>
        </w:rPr>
        <w:t>立法</w:t>
      </w:r>
      <w:r>
        <w:rPr>
          <w:rFonts w:hint="eastAsia" w:ascii="仿宋_GB2312" w:hAnsi="仿宋_GB2312" w:eastAsia="仿宋_GB2312" w:cs="仿宋_GB2312"/>
          <w:b w:val="0"/>
          <w:bCs w:val="0"/>
          <w:kern w:val="2"/>
          <w:sz w:val="32"/>
          <w:szCs w:val="32"/>
          <w:lang w:val="en-US" w:eastAsia="zh-CN" w:bidi="ar-SA"/>
        </w:rPr>
        <w:t>目的】为了加强塘朗山、梅林山、银湖山的保护与利用，推进生态资源可持续利用，</w:t>
      </w:r>
      <w:r>
        <w:rPr>
          <w:rFonts w:hint="eastAsia" w:ascii="仿宋_GB2312" w:hAnsi="仿宋_GB2312" w:eastAsia="仿宋_GB2312" w:cs="仿宋_GB2312"/>
          <w:b w:val="0"/>
          <w:bCs w:val="0"/>
          <w:kern w:val="2"/>
          <w:sz w:val="32"/>
          <w:szCs w:val="24"/>
          <w:lang w:val="en-US" w:eastAsia="zh-CN" w:bidi="ar-SA"/>
        </w:rPr>
        <w:t>促进人与自然和谐共生，根据有关法律、行政法规的基本原则，结合深圳经济特区实际，制定本规定</w:t>
      </w:r>
      <w:r>
        <w:rPr>
          <w:rFonts w:hint="eastAsia" w:ascii="仿宋_GB2312" w:hAnsi="仿宋_GB2312" w:eastAsia="仿宋_GB2312" w:cs="仿宋_GB2312"/>
          <w:b w:val="0"/>
          <w:bCs w:val="0"/>
          <w:kern w:val="2"/>
          <w:sz w:val="32"/>
          <w:szCs w:val="32"/>
          <w:lang w:val="en-US" w:eastAsia="zh-CN" w:bidi="ar-SA"/>
        </w:rPr>
        <w:t>。</w:t>
      </w:r>
    </w:p>
    <w:p w14:paraId="5BDCC1C0">
      <w:pPr>
        <w:keepNext w:val="0"/>
        <w:keepLines w:val="0"/>
        <w:pageBreakBefore w:val="0"/>
        <w:widowControl w:val="0"/>
        <w:numPr>
          <w:ilvl w:val="0"/>
          <w:numId w:val="0"/>
        </w:numPr>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 xml:space="preserve">第二条 </w:t>
      </w:r>
      <w:r>
        <w:rPr>
          <w:rFonts w:hint="eastAsia" w:ascii="仿宋_GB2312" w:hAnsi="仿宋_GB2312" w:eastAsia="仿宋_GB2312" w:cs="仿宋_GB2312"/>
          <w:b w:val="0"/>
          <w:bCs w:val="0"/>
          <w:kern w:val="2"/>
          <w:sz w:val="32"/>
          <w:szCs w:val="32"/>
          <w:lang w:val="en-US" w:eastAsia="zh-CN" w:bidi="ar-SA"/>
        </w:rPr>
        <w:t>【适用范围】</w:t>
      </w:r>
      <w:r>
        <w:rPr>
          <w:rFonts w:hint="default" w:ascii="仿宋_GB2312" w:hAnsi="仿宋_GB2312" w:eastAsia="仿宋_GB2312" w:cs="仿宋_GB2312"/>
          <w:b w:val="0"/>
          <w:bCs w:val="0"/>
          <w:kern w:val="2"/>
          <w:sz w:val="32"/>
          <w:szCs w:val="32"/>
          <w:lang w:val="en-US" w:eastAsia="zh-CN" w:bidi="ar-SA"/>
        </w:rPr>
        <w:t>本规定</w:t>
      </w:r>
      <w:r>
        <w:rPr>
          <w:rFonts w:hint="eastAsia" w:ascii="仿宋_GB2312" w:hAnsi="仿宋_GB2312" w:eastAsia="仿宋_GB2312" w:cs="仿宋_GB2312"/>
          <w:b w:val="0"/>
          <w:bCs w:val="0"/>
          <w:kern w:val="2"/>
          <w:sz w:val="32"/>
          <w:szCs w:val="32"/>
          <w:lang w:val="en-US" w:eastAsia="zh-CN" w:bidi="ar-SA"/>
        </w:rPr>
        <w:t>适用于塘朗山、</w:t>
      </w:r>
      <w:r>
        <w:rPr>
          <w:rFonts w:ascii="仿宋_GB2312" w:hAnsi="仿宋_GB2312" w:eastAsia="仿宋_GB2312" w:cs="仿宋_GB2312"/>
          <w:b w:val="0"/>
          <w:bCs w:val="0"/>
          <w:kern w:val="2"/>
          <w:sz w:val="32"/>
          <w:szCs w:val="32"/>
          <w:lang w:val="en-US" w:eastAsia="zh-CN" w:bidi="ar-SA"/>
        </w:rPr>
        <w:t>梅</w:t>
      </w:r>
      <w:r>
        <w:rPr>
          <w:rFonts w:hint="eastAsia" w:ascii="仿宋_GB2312" w:hAnsi="仿宋_GB2312" w:eastAsia="仿宋_GB2312" w:cs="仿宋_GB2312"/>
          <w:b w:val="0"/>
          <w:bCs w:val="0"/>
          <w:kern w:val="2"/>
          <w:sz w:val="32"/>
          <w:szCs w:val="32"/>
          <w:lang w:val="en-US" w:eastAsia="zh-CN" w:bidi="ar-SA"/>
        </w:rPr>
        <w:t>林山、银湖山的保护与利用活动。具体保护范围</w:t>
      </w:r>
      <w:r>
        <w:rPr>
          <w:rFonts w:ascii="仿宋_GB2312" w:hAnsi="仿宋_GB2312" w:eastAsia="仿宋_GB2312" w:cs="仿宋_GB2312"/>
          <w:b w:val="0"/>
          <w:bCs w:val="0"/>
          <w:kern w:val="2"/>
          <w:sz w:val="32"/>
          <w:szCs w:val="32"/>
          <w:lang w:val="en-US" w:eastAsia="zh-CN" w:bidi="ar-SA"/>
        </w:rPr>
        <w:t>由</w:t>
      </w:r>
      <w:r>
        <w:rPr>
          <w:rFonts w:hint="eastAsia" w:ascii="仿宋_GB2312" w:hAnsi="仿宋_GB2312" w:eastAsia="仿宋_GB2312" w:cs="仿宋_GB2312"/>
          <w:b w:val="0"/>
          <w:bCs w:val="0"/>
          <w:kern w:val="2"/>
          <w:sz w:val="32"/>
          <w:szCs w:val="32"/>
          <w:lang w:val="en-US" w:eastAsia="zh-CN" w:bidi="ar-SA"/>
        </w:rPr>
        <w:t>塘朗山</w:t>
      </w:r>
      <w:r>
        <w:rPr>
          <w:rFonts w:ascii="仿宋_GB2312" w:hAnsi="仿宋_GB2312" w:eastAsia="仿宋_GB2312" w:cs="仿宋_GB2312"/>
          <w:b w:val="0"/>
          <w:bCs w:val="0"/>
          <w:kern w:val="2"/>
          <w:sz w:val="32"/>
          <w:szCs w:val="32"/>
          <w:lang w:val="en-US" w:eastAsia="zh-CN" w:bidi="ar-SA"/>
        </w:rPr>
        <w:t>梅</w:t>
      </w:r>
      <w:r>
        <w:rPr>
          <w:rFonts w:hint="eastAsia" w:ascii="仿宋_GB2312" w:hAnsi="仿宋_GB2312" w:eastAsia="仿宋_GB2312" w:cs="仿宋_GB2312"/>
          <w:b w:val="0"/>
          <w:bCs w:val="0"/>
          <w:kern w:val="2"/>
          <w:sz w:val="32"/>
          <w:szCs w:val="32"/>
          <w:lang w:val="en-US" w:eastAsia="zh-CN" w:bidi="ar-SA"/>
        </w:rPr>
        <w:t>林山银湖山生态单元规划确定。</w:t>
      </w:r>
    </w:p>
    <w:p w14:paraId="563A4166">
      <w:pPr>
        <w:keepNext w:val="0"/>
        <w:keepLines w:val="0"/>
        <w:pageBreakBefore w:val="0"/>
        <w:widowControl w:val="0"/>
        <w:numPr>
          <w:ilvl w:val="0"/>
          <w:numId w:val="0"/>
        </w:numPr>
        <w:snapToGrid/>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第三条</w:t>
      </w:r>
      <w:r>
        <w:rPr>
          <w:rFonts w:hint="eastAsia" w:ascii="仿宋_GB2312" w:hAnsi="仿宋_GB2312" w:eastAsia="仿宋_GB2312" w:cs="仿宋_GB2312"/>
          <w:b w:val="0"/>
          <w:bCs w:val="0"/>
          <w:kern w:val="2"/>
          <w:sz w:val="32"/>
          <w:szCs w:val="32"/>
          <w:lang w:val="en-US" w:eastAsia="zh-CN" w:bidi="ar-SA"/>
        </w:rPr>
        <w:t xml:space="preserve"> 【保护利用原则】保护与利用坚持以人民为中心的发展思想，坚持生态保护第一、统筹保护和利用，构建政府主导、多方参与、社会共享的机制，实现</w:t>
      </w:r>
      <w:r>
        <w:rPr>
          <w:rFonts w:hint="eastAsia" w:ascii="仿宋_GB2312" w:hAnsi="仿宋_GB2312" w:eastAsia="仿宋_GB2312" w:cs="仿宋_GB2312"/>
          <w:b w:val="0"/>
          <w:bCs w:val="0"/>
          <w:color w:val="auto"/>
          <w:kern w:val="2"/>
          <w:sz w:val="32"/>
          <w:szCs w:val="32"/>
          <w:shd w:val="clear" w:color="auto" w:fill="FFFFFF"/>
          <w:lang w:val="en-US" w:eastAsia="zh-CN" w:bidi="ar"/>
        </w:rPr>
        <w:t>生态效益和社会效益相统一。</w:t>
      </w:r>
    </w:p>
    <w:p w14:paraId="547E77EC">
      <w:pPr>
        <w:keepNext w:val="0"/>
        <w:keepLines w:val="0"/>
        <w:pageBreakBefore w:val="0"/>
        <w:widowControl w:val="0"/>
        <w:numPr>
          <w:ilvl w:val="0"/>
          <w:numId w:val="0"/>
        </w:numPr>
        <w:snapToGrid/>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第四条</w:t>
      </w:r>
      <w:r>
        <w:rPr>
          <w:rFonts w:hint="eastAsia" w:ascii="仿宋_GB2312" w:hAnsi="仿宋_GB2312" w:eastAsia="仿宋_GB2312" w:cs="仿宋_GB2312"/>
          <w:b w:val="0"/>
          <w:bCs w:val="0"/>
          <w:kern w:val="2"/>
          <w:sz w:val="32"/>
          <w:szCs w:val="32"/>
          <w:lang w:val="en-US" w:eastAsia="zh-CN" w:bidi="ar-SA"/>
        </w:rPr>
        <w:t xml:space="preserve"> 【生态单元规划】市规划和自然资源部门应当会同市城管和综合执法等有关部门，根据国土空间规划，合理划定生态保护区域，科学编制塘朗山</w:t>
      </w:r>
      <w:r>
        <w:rPr>
          <w:rFonts w:ascii="仿宋_GB2312" w:hAnsi="仿宋_GB2312" w:eastAsia="仿宋_GB2312" w:cs="仿宋_GB2312"/>
          <w:b w:val="0"/>
          <w:bCs w:val="0"/>
          <w:kern w:val="2"/>
          <w:sz w:val="32"/>
          <w:szCs w:val="32"/>
          <w:lang w:val="en-US" w:eastAsia="zh-CN" w:bidi="ar-SA"/>
        </w:rPr>
        <w:t>梅</w:t>
      </w:r>
      <w:r>
        <w:rPr>
          <w:rFonts w:hint="eastAsia" w:ascii="仿宋_GB2312" w:hAnsi="仿宋_GB2312" w:eastAsia="仿宋_GB2312" w:cs="仿宋_GB2312"/>
          <w:b w:val="0"/>
          <w:bCs w:val="0"/>
          <w:kern w:val="2"/>
          <w:sz w:val="32"/>
          <w:szCs w:val="32"/>
          <w:lang w:val="en-US" w:eastAsia="zh-CN" w:bidi="ar-SA"/>
        </w:rPr>
        <w:t>林山银湖山生态单元规划，按照程序报批后实施，并向社会公布。生态单元规划应当明确保护范围、保护对象、保护措施等内容。</w:t>
      </w:r>
    </w:p>
    <w:p w14:paraId="4D2DDE88">
      <w:pPr>
        <w:keepNext w:val="0"/>
        <w:keepLines w:val="0"/>
        <w:pageBreakBefore w:val="0"/>
        <w:widowControl w:val="0"/>
        <w:numPr>
          <w:ilvl w:val="0"/>
          <w:numId w:val="0"/>
        </w:numPr>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 xml:space="preserve">第五条 </w:t>
      </w:r>
      <w:r>
        <w:rPr>
          <w:rFonts w:hint="eastAsia" w:ascii="仿宋_GB2312" w:hAnsi="仿宋_GB2312" w:eastAsia="仿宋_GB2312" w:cs="仿宋_GB2312"/>
          <w:b w:val="0"/>
          <w:bCs w:val="0"/>
          <w:kern w:val="2"/>
          <w:sz w:val="32"/>
          <w:szCs w:val="32"/>
          <w:lang w:val="en-US" w:eastAsia="zh-CN" w:bidi="ar-SA"/>
        </w:rPr>
        <w:t>【协同保护】市城管和综合执法</w:t>
      </w:r>
      <w:r>
        <w:rPr>
          <w:rFonts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规划和自然资源、生态环境等有关部门及保护范围所在地区人民政府</w:t>
      </w:r>
      <w:r>
        <w:rPr>
          <w:rFonts w:ascii="仿宋_GB2312" w:hAnsi="仿宋_GB2312" w:eastAsia="仿宋_GB2312" w:cs="仿宋_GB2312"/>
          <w:b w:val="0"/>
          <w:bCs w:val="0"/>
          <w:kern w:val="2"/>
          <w:sz w:val="32"/>
          <w:szCs w:val="32"/>
          <w:lang w:val="en-US" w:eastAsia="zh-CN" w:bidi="ar-SA"/>
        </w:rPr>
        <w:t>，应当</w:t>
      </w:r>
      <w:r>
        <w:rPr>
          <w:rFonts w:hint="eastAsia" w:ascii="仿宋_GB2312" w:hAnsi="仿宋_GB2312" w:eastAsia="仿宋_GB2312" w:cs="仿宋_GB2312"/>
          <w:b w:val="0"/>
          <w:bCs w:val="0"/>
          <w:kern w:val="2"/>
          <w:sz w:val="32"/>
          <w:szCs w:val="32"/>
          <w:lang w:val="en-US" w:eastAsia="zh-CN" w:bidi="ar-SA"/>
        </w:rPr>
        <w:t>建立健全</w:t>
      </w:r>
      <w:r>
        <w:rPr>
          <w:rFonts w:ascii="仿宋_GB2312" w:hAnsi="仿宋_GB2312" w:eastAsia="仿宋_GB2312" w:cs="仿宋_GB2312"/>
          <w:b w:val="0"/>
          <w:bCs w:val="0"/>
          <w:kern w:val="2"/>
          <w:sz w:val="32"/>
          <w:szCs w:val="32"/>
          <w:lang w:val="en-US" w:eastAsia="zh-CN" w:bidi="ar-SA"/>
        </w:rPr>
        <w:t>协同保护机制</w:t>
      </w:r>
      <w:r>
        <w:rPr>
          <w:rFonts w:hint="eastAsia" w:ascii="仿宋_GB2312" w:hAnsi="仿宋_GB2312" w:eastAsia="仿宋_GB2312" w:cs="仿宋_GB2312"/>
          <w:b w:val="0"/>
          <w:bCs w:val="0"/>
          <w:kern w:val="2"/>
          <w:sz w:val="32"/>
          <w:szCs w:val="32"/>
          <w:lang w:val="en-US" w:eastAsia="zh-CN" w:bidi="ar-SA"/>
        </w:rPr>
        <w:t>，加强</w:t>
      </w:r>
      <w:r>
        <w:rPr>
          <w:rFonts w:ascii="仿宋_GB2312" w:hAnsi="仿宋_GB2312" w:eastAsia="仿宋_GB2312" w:cs="仿宋_GB2312"/>
          <w:b w:val="0"/>
          <w:bCs w:val="0"/>
          <w:kern w:val="2"/>
          <w:sz w:val="32"/>
          <w:szCs w:val="32"/>
          <w:lang w:val="en-US" w:eastAsia="zh-CN" w:bidi="ar-SA"/>
        </w:rPr>
        <w:t>沟通协商、信息共享</w:t>
      </w:r>
      <w:r>
        <w:rPr>
          <w:rFonts w:hint="eastAsia" w:ascii="仿宋_GB2312" w:hAnsi="仿宋_GB2312" w:eastAsia="仿宋_GB2312" w:cs="仿宋_GB2312"/>
          <w:b w:val="0"/>
          <w:bCs w:val="0"/>
          <w:kern w:val="2"/>
          <w:sz w:val="32"/>
          <w:szCs w:val="32"/>
          <w:lang w:val="en-US" w:eastAsia="zh-CN" w:bidi="ar-SA"/>
        </w:rPr>
        <w:t>、</w:t>
      </w:r>
      <w:r>
        <w:rPr>
          <w:rFonts w:ascii="仿宋_GB2312" w:hAnsi="仿宋_GB2312" w:eastAsia="仿宋_GB2312" w:cs="仿宋_GB2312"/>
          <w:b w:val="0"/>
          <w:bCs w:val="0"/>
          <w:kern w:val="2"/>
          <w:sz w:val="32"/>
          <w:szCs w:val="32"/>
          <w:lang w:val="en-US" w:eastAsia="zh-CN" w:bidi="ar-SA"/>
        </w:rPr>
        <w:t>巡护执法、</w:t>
      </w:r>
      <w:r>
        <w:rPr>
          <w:rFonts w:hint="eastAsia" w:ascii="仿宋_GB2312" w:hAnsi="仿宋_GB2312" w:eastAsia="仿宋_GB2312" w:cs="仿宋_GB2312"/>
          <w:b w:val="0"/>
          <w:bCs w:val="0"/>
          <w:kern w:val="2"/>
          <w:sz w:val="32"/>
          <w:szCs w:val="32"/>
          <w:lang w:val="en-US" w:eastAsia="zh-CN" w:bidi="ar-SA"/>
        </w:rPr>
        <w:t>防灾减灾、应急救援等工作</w:t>
      </w:r>
      <w:r>
        <w:rPr>
          <w:rFonts w:ascii="仿宋_GB2312" w:hAnsi="仿宋_GB2312" w:eastAsia="仿宋_GB2312" w:cs="仿宋_GB2312"/>
          <w:b w:val="0"/>
          <w:bCs w:val="0"/>
          <w:kern w:val="2"/>
          <w:sz w:val="32"/>
          <w:szCs w:val="32"/>
          <w:lang w:val="en-US" w:eastAsia="zh-CN" w:bidi="ar-SA"/>
        </w:rPr>
        <w:t>。</w:t>
      </w:r>
    </w:p>
    <w:p w14:paraId="0B5ECE81">
      <w:pPr>
        <w:keepNext w:val="0"/>
        <w:keepLines w:val="0"/>
        <w:pageBreakBefore w:val="0"/>
        <w:widowControl w:val="0"/>
        <w:numPr>
          <w:ilvl w:val="0"/>
          <w:numId w:val="0"/>
        </w:numPr>
        <w:spacing w:line="560" w:lineRule="exact"/>
        <w:ind w:left="0" w:leftChars="0" w:firstLine="640" w:firstLineChars="200"/>
        <w:jc w:val="both"/>
        <w:rPr>
          <w:rFonts w:hint="eastAsia" w:ascii="仿宋_GB2312" w:hAnsi="仿宋_GB2312" w:eastAsia="仿宋_GB2312" w:cs="仿宋_GB2312"/>
          <w:b w:val="0"/>
          <w:bCs w:val="0"/>
          <w:kern w:val="2"/>
          <w:sz w:val="32"/>
          <w:szCs w:val="32"/>
          <w:highlight w:val="yellow"/>
          <w:lang w:val="en-US" w:eastAsia="zh-CN" w:bidi="ar-SA"/>
        </w:rPr>
      </w:pPr>
      <w:r>
        <w:rPr>
          <w:rFonts w:hint="eastAsia" w:ascii="仿宋_GB2312" w:hAnsi="仿宋_GB2312" w:eastAsia="仿宋_GB2312" w:cs="仿宋_GB2312"/>
          <w:b w:val="0"/>
          <w:bCs w:val="0"/>
          <w:kern w:val="2"/>
          <w:sz w:val="32"/>
          <w:szCs w:val="32"/>
          <w:lang w:val="en-US" w:eastAsia="zh-CN" w:bidi="ar-SA"/>
        </w:rPr>
        <w:t>鼓励保护范围内的</w:t>
      </w:r>
      <w:r>
        <w:rPr>
          <w:rFonts w:ascii="仿宋_GB2312" w:hAnsi="仿宋_GB2312" w:eastAsia="仿宋_GB2312" w:cs="仿宋_GB2312"/>
          <w:b w:val="0"/>
          <w:bCs w:val="0"/>
          <w:kern w:val="2"/>
          <w:sz w:val="32"/>
          <w:szCs w:val="32"/>
          <w:lang w:val="en-US" w:eastAsia="zh-CN" w:bidi="ar-SA"/>
        </w:rPr>
        <w:t>管理单位</w:t>
      </w:r>
      <w:r>
        <w:rPr>
          <w:rFonts w:hint="eastAsia" w:ascii="仿宋_GB2312" w:hAnsi="仿宋_GB2312" w:eastAsia="仿宋_GB2312" w:cs="仿宋_GB2312"/>
          <w:b w:val="0"/>
          <w:bCs w:val="0"/>
          <w:kern w:val="2"/>
          <w:sz w:val="32"/>
          <w:szCs w:val="32"/>
          <w:lang w:val="en-US" w:eastAsia="zh-CN" w:bidi="ar-SA"/>
        </w:rPr>
        <w:t>与周边社区建立协作机制，推动社区参与生态管护、可持续发展等工作。</w:t>
      </w:r>
    </w:p>
    <w:p w14:paraId="30784736">
      <w:pPr>
        <w:keepNext w:val="0"/>
        <w:keepLines w:val="0"/>
        <w:pageBreakBefore w:val="0"/>
        <w:widowControl w:val="0"/>
        <w:numPr>
          <w:ilvl w:val="0"/>
          <w:numId w:val="0"/>
        </w:numPr>
        <w:snapToGrid/>
        <w:spacing w:line="560" w:lineRule="exact"/>
        <w:ind w:firstLine="640" w:firstLineChars="200"/>
        <w:jc w:val="both"/>
        <w:outlineLvl w:val="9"/>
        <w:rPr>
          <w:rFonts w:hint="eastAsia" w:ascii="Times New Roman" w:hAnsi="Times New Roman" w:eastAsia="仿宋_GB2312" w:cs="仿宋_GB2312"/>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第六条</w:t>
      </w:r>
      <w:r>
        <w:rPr>
          <w:rFonts w:hint="eastAsia" w:ascii="仿宋_GB2312" w:hAnsi="仿宋_GB2312" w:eastAsia="仿宋_GB2312" w:cs="仿宋_GB2312"/>
          <w:b w:val="0"/>
          <w:bCs w:val="0"/>
          <w:kern w:val="2"/>
          <w:sz w:val="32"/>
          <w:szCs w:val="32"/>
          <w:lang w:val="en-US" w:eastAsia="zh-CN" w:bidi="ar-SA"/>
        </w:rPr>
        <w:t xml:space="preserve"> 【保护利用要求】保护范围内的有关活动应当</w:t>
      </w:r>
      <w:r>
        <w:rPr>
          <w:rFonts w:hint="eastAsia" w:ascii="宋体" w:hAnsi="宋体" w:eastAsia="仿宋_GB2312" w:cs="仿宋_GB2312"/>
          <w:b w:val="0"/>
          <w:bCs w:val="0"/>
          <w:color w:val="auto"/>
          <w:kern w:val="2"/>
          <w:sz w:val="32"/>
          <w:szCs w:val="32"/>
          <w:lang w:val="en-US" w:eastAsia="zh-CN" w:bidi="ar-SA"/>
        </w:rPr>
        <w:t>维护区域生态系统的完整性，保持生态平衡，并符合下列要求：</w:t>
      </w:r>
    </w:p>
    <w:p w14:paraId="601DBAAF">
      <w:pPr>
        <w:keepNext w:val="0"/>
        <w:keepLines w:val="0"/>
        <w:pageBreakBefore w:val="0"/>
        <w:widowControl w:val="0"/>
        <w:numPr>
          <w:ilvl w:val="0"/>
          <w:numId w:val="0"/>
        </w:numPr>
        <w:snapToGrid w:val="0"/>
        <w:spacing w:line="560" w:lineRule="exact"/>
        <w:ind w:firstLine="640" w:firstLineChars="200"/>
        <w:jc w:val="both"/>
        <w:outlineLvl w:val="9"/>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（一）</w:t>
      </w:r>
      <w:r>
        <w:rPr>
          <w:rFonts w:hint="eastAsia" w:ascii="宋体" w:hAnsi="宋体" w:eastAsia="仿宋_GB2312" w:cs="仿宋_GB2312"/>
          <w:b w:val="0"/>
          <w:bCs w:val="0"/>
          <w:color w:val="auto"/>
          <w:kern w:val="2"/>
          <w:sz w:val="32"/>
          <w:szCs w:val="32"/>
          <w:lang w:val="en-US" w:eastAsia="zh-CN" w:bidi="ar-SA"/>
        </w:rPr>
        <w:t>严格保护</w:t>
      </w:r>
      <w:r>
        <w:rPr>
          <w:rFonts w:hint="eastAsia" w:ascii="仿宋_GB2312" w:hAnsi="仿宋_GB2312" w:eastAsia="仿宋_GB2312" w:cs="仿宋_GB2312"/>
          <w:b w:val="0"/>
          <w:bCs w:val="0"/>
          <w:kern w:val="2"/>
          <w:sz w:val="32"/>
          <w:szCs w:val="32"/>
          <w:lang w:val="en-US" w:eastAsia="zh-CN" w:bidi="ar-SA"/>
        </w:rPr>
        <w:t>珍稀物种栖息地、原生地、天然林及水源涵养区等生态敏感区</w:t>
      </w:r>
      <w:r>
        <w:rPr>
          <w:rFonts w:hint="eastAsia" w:ascii="宋体" w:hAnsi="宋体"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依据生态保护红线、饮用水水源保护等相关法律法规，</w:t>
      </w:r>
      <w:r>
        <w:rPr>
          <w:rFonts w:hint="eastAsia" w:ascii="宋体" w:hAnsi="宋体" w:eastAsia="仿宋_GB2312" w:cs="仿宋_GB2312"/>
          <w:b w:val="0"/>
          <w:bCs w:val="0"/>
          <w:color w:val="auto"/>
          <w:kern w:val="2"/>
          <w:sz w:val="32"/>
          <w:szCs w:val="32"/>
          <w:lang w:val="en-US" w:eastAsia="zh-CN" w:bidi="ar-SA"/>
        </w:rPr>
        <w:t>限制永久性设施的建设并</w:t>
      </w:r>
      <w:r>
        <w:rPr>
          <w:rFonts w:hint="eastAsia" w:ascii="Times New Roman" w:hAnsi="Times New Roman" w:eastAsia="仿宋_GB2312" w:cs="仿宋_GB2312"/>
          <w:b w:val="0"/>
          <w:bCs w:val="0"/>
          <w:kern w:val="2"/>
          <w:sz w:val="32"/>
          <w:szCs w:val="32"/>
          <w:lang w:val="en-US" w:eastAsia="zh-CN" w:bidi="ar-SA"/>
        </w:rPr>
        <w:t>严格控制建设规模</w:t>
      </w:r>
      <w:r>
        <w:rPr>
          <w:rFonts w:hint="eastAsia" w:ascii="宋体" w:hAnsi="宋体"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生态敏感区仅允许</w:t>
      </w:r>
      <w:r>
        <w:rPr>
          <w:rFonts w:hint="eastAsia" w:ascii="Times New Roman" w:hAnsi="Times New Roman" w:eastAsia="仿宋_GB2312" w:cs="仿宋_GB2312"/>
          <w:b w:val="0"/>
          <w:bCs w:val="0"/>
          <w:kern w:val="2"/>
          <w:sz w:val="32"/>
          <w:szCs w:val="32"/>
          <w:lang w:val="en-US" w:eastAsia="zh-CN" w:bidi="ar-SA"/>
        </w:rPr>
        <w:t>开展调查监测、生态修复、管护巡护、科研观测、基础测绘、文物保护、防灾减灾、应急救援等有限人为活动；</w:t>
      </w:r>
    </w:p>
    <w:p w14:paraId="02E1480B">
      <w:pPr>
        <w:keepNext w:val="0"/>
        <w:keepLines w:val="0"/>
        <w:pageBreakBefore w:val="0"/>
        <w:widowControl w:val="0"/>
        <w:numPr>
          <w:ilvl w:val="0"/>
          <w:numId w:val="0"/>
        </w:numPr>
        <w:snapToGrid w:val="0"/>
        <w:spacing w:line="560" w:lineRule="exact"/>
        <w:ind w:firstLine="640" w:firstLineChars="200"/>
        <w:jc w:val="both"/>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（二）非生态敏感区应当依照生态单元规划合理开展科普宣传、生态旅游、教育文化体育等公共服务活动；</w:t>
      </w:r>
    </w:p>
    <w:p w14:paraId="7180223B">
      <w:pPr>
        <w:keepNext w:val="0"/>
        <w:keepLines w:val="0"/>
        <w:pageBreakBefore w:val="0"/>
        <w:widowControl w:val="0"/>
        <w:numPr>
          <w:ilvl w:val="0"/>
          <w:numId w:val="0"/>
        </w:numPr>
        <w:spacing w:line="560" w:lineRule="exact"/>
        <w:ind w:firstLine="640" w:firstLineChars="200"/>
        <w:jc w:val="both"/>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（三）</w:t>
      </w:r>
      <w:r>
        <w:rPr>
          <w:rFonts w:hint="eastAsia" w:ascii="Times New Roman" w:hAnsi="Times New Roman" w:eastAsia="仿宋_GB2312" w:cs="仿宋_GB2312"/>
          <w:b w:val="0"/>
          <w:bCs w:val="0"/>
          <w:kern w:val="2"/>
          <w:sz w:val="32"/>
          <w:szCs w:val="32"/>
          <w:lang w:val="en-US" w:eastAsia="zh-CN" w:bidi="ar-SA"/>
        </w:rPr>
        <w:t>建设活动</w:t>
      </w:r>
      <w:r>
        <w:rPr>
          <w:rFonts w:hint="eastAsia" w:ascii="Times New Roman" w:hAnsi="Times New Roman" w:eastAsia="仿宋_GB2312" w:cs="仿宋_GB2312"/>
          <w:b w:val="0"/>
          <w:bCs w:val="0"/>
          <w:kern w:val="2"/>
          <w:sz w:val="32"/>
          <w:szCs w:val="32"/>
          <w:u w:val="none"/>
          <w:lang w:val="en-US" w:eastAsia="zh-CN" w:bidi="ar-SA"/>
        </w:rPr>
        <w:t>应当采取有效措施保护地质地貌、森林植被、文物古迹等自然、人文资源</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24"/>
          <w:lang w:val="en-US" w:eastAsia="zh-CN" w:bidi="ar-SA"/>
        </w:rPr>
        <w:t>新、改、扩建项目应当符合生态单元规划，并按规定程序报批后实施；</w:t>
      </w:r>
      <w:r>
        <w:rPr>
          <w:rFonts w:hint="eastAsia" w:ascii="Times New Roman" w:hAnsi="Times New Roman" w:eastAsia="仿宋_GB2312" w:cs="仿宋_GB2312"/>
          <w:b w:val="0"/>
          <w:bCs w:val="0"/>
          <w:kern w:val="2"/>
          <w:sz w:val="32"/>
          <w:szCs w:val="32"/>
          <w:lang w:val="en-US" w:eastAsia="zh-CN" w:bidi="ar-SA"/>
        </w:rPr>
        <w:t>不可避让的重大线性工程，应当优先采用无害化建设方式，</w:t>
      </w:r>
      <w:r>
        <w:rPr>
          <w:rFonts w:hint="eastAsia" w:ascii="Times New Roman" w:hAnsi="Times New Roman" w:eastAsia="仿宋_GB2312" w:cs="仿宋_GB2312"/>
          <w:b w:val="0"/>
          <w:bCs w:val="0"/>
          <w:color w:val="auto"/>
          <w:kern w:val="2"/>
          <w:sz w:val="32"/>
          <w:szCs w:val="32"/>
          <w:lang w:val="en-US" w:eastAsia="zh-CN" w:bidi="ar-SA"/>
        </w:rPr>
        <w:t>降低对自然生态的影响；</w:t>
      </w:r>
    </w:p>
    <w:p w14:paraId="0C3E3731">
      <w:pPr>
        <w:keepNext w:val="0"/>
        <w:keepLines w:val="0"/>
        <w:pageBreakBefore w:val="0"/>
        <w:widowControl w:val="0"/>
        <w:numPr>
          <w:ilvl w:val="0"/>
          <w:numId w:val="0"/>
        </w:numPr>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（四）</w:t>
      </w:r>
      <w:r>
        <w:rPr>
          <w:rFonts w:hint="eastAsia" w:ascii="仿宋_GB2312" w:hAnsi="仿宋_GB2312" w:eastAsia="仿宋_GB2312" w:cs="仿宋_GB2312"/>
          <w:b w:val="0"/>
          <w:bCs w:val="0"/>
          <w:kern w:val="2"/>
          <w:sz w:val="32"/>
          <w:szCs w:val="32"/>
          <w:lang w:val="en-US" w:eastAsia="zh-CN" w:bidi="ar-SA"/>
        </w:rPr>
        <w:t>保护范围内建设山体俯瞰点，应当符合城市第六立面设计标准，充分与自然地形及既有徒步系统衔接。</w:t>
      </w:r>
    </w:p>
    <w:p w14:paraId="615F91BA">
      <w:pPr>
        <w:keepNext w:val="0"/>
        <w:keepLines w:val="0"/>
        <w:pageBreakBefore w:val="0"/>
        <w:widowControl/>
        <w:numPr>
          <w:ilvl w:val="0"/>
          <w:numId w:val="0"/>
        </w:numPr>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第七条</w:t>
      </w:r>
      <w:r>
        <w:rPr>
          <w:rFonts w:hint="eastAsia" w:ascii="仿宋_GB2312" w:hAnsi="仿宋_GB2312" w:eastAsia="仿宋_GB2312" w:cs="仿宋_GB2312"/>
          <w:b w:val="0"/>
          <w:bCs w:val="0"/>
          <w:kern w:val="2"/>
          <w:sz w:val="32"/>
          <w:szCs w:val="32"/>
          <w:lang w:val="en-US" w:eastAsia="zh-CN" w:bidi="ar-SA"/>
        </w:rPr>
        <w:t xml:space="preserve"> 【保护对象】市规划和自然资源、城管和综合执法部门应当在各自职责范围内对保护范围内</w:t>
      </w:r>
      <w:r>
        <w:rPr>
          <w:rFonts w:hint="default" w:ascii="仿宋_GB2312" w:hAnsi="仿宋_GB2312" w:eastAsia="仿宋_GB2312" w:cs="仿宋_GB2312"/>
          <w:b w:val="0"/>
          <w:bCs w:val="0"/>
          <w:kern w:val="2"/>
          <w:sz w:val="32"/>
          <w:szCs w:val="32"/>
          <w:lang w:val="en-US" w:eastAsia="zh-CN" w:bidi="ar-SA"/>
        </w:rPr>
        <w:t>的</w:t>
      </w:r>
      <w:r>
        <w:rPr>
          <w:rFonts w:hint="eastAsia" w:ascii="仿宋_GB2312" w:hAnsi="仿宋_GB2312" w:eastAsia="仿宋_GB2312" w:cs="仿宋_GB2312"/>
          <w:b w:val="0"/>
          <w:bCs w:val="0"/>
          <w:kern w:val="2"/>
          <w:sz w:val="32"/>
          <w:szCs w:val="32"/>
          <w:lang w:val="en-US" w:eastAsia="zh-CN" w:bidi="ar-SA"/>
        </w:rPr>
        <w:t>森林、野生动植物、古树名木、湿地</w:t>
      </w:r>
      <w:r>
        <w:rPr>
          <w:rFonts w:ascii="仿宋_GB2312" w:hAnsi="仿宋_GB2312" w:eastAsia="仿宋_GB2312" w:cs="仿宋_GB2312"/>
          <w:b w:val="0"/>
          <w:bCs w:val="0"/>
          <w:kern w:val="2"/>
          <w:sz w:val="32"/>
          <w:szCs w:val="32"/>
          <w:lang w:val="en-US" w:eastAsia="zh-CN" w:bidi="ar-SA"/>
        </w:rPr>
        <w:t>等</w:t>
      </w:r>
      <w:r>
        <w:rPr>
          <w:rFonts w:hint="eastAsia" w:ascii="仿宋_GB2312" w:hAnsi="仿宋_GB2312" w:eastAsia="仿宋_GB2312" w:cs="仿宋_GB2312"/>
          <w:b w:val="0"/>
          <w:bCs w:val="0"/>
          <w:kern w:val="2"/>
          <w:sz w:val="32"/>
          <w:szCs w:val="32"/>
          <w:lang w:val="en-US" w:eastAsia="zh-CN" w:bidi="ar-SA"/>
        </w:rPr>
        <w:t>资源进行调查监测</w:t>
      </w:r>
      <w:r>
        <w:rPr>
          <w:rFonts w:ascii="仿宋_GB2312" w:hAnsi="仿宋_GB2312" w:eastAsia="仿宋_GB2312" w:cs="仿宋_GB2312"/>
          <w:b w:val="0"/>
          <w:bCs w:val="0"/>
          <w:kern w:val="2"/>
          <w:sz w:val="32"/>
          <w:szCs w:val="32"/>
          <w:lang w:val="en-US" w:eastAsia="zh-CN" w:bidi="ar-SA"/>
        </w:rPr>
        <w:t>，并通过</w:t>
      </w:r>
      <w:r>
        <w:rPr>
          <w:rFonts w:hint="eastAsia" w:ascii="仿宋_GB2312" w:hAnsi="仿宋_GB2312" w:eastAsia="仿宋_GB2312" w:cs="仿宋_GB2312"/>
          <w:b w:val="0"/>
          <w:bCs w:val="0"/>
          <w:kern w:val="2"/>
          <w:sz w:val="32"/>
          <w:szCs w:val="32"/>
          <w:lang w:val="en-US" w:eastAsia="zh-CN" w:bidi="ar-SA"/>
        </w:rPr>
        <w:t>划定保护区域</w:t>
      </w:r>
      <w:r>
        <w:rPr>
          <w:rFonts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设置保护标识</w:t>
      </w:r>
      <w:r>
        <w:rPr>
          <w:rFonts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采取针对性保护措施</w:t>
      </w:r>
      <w:r>
        <w:rPr>
          <w:rFonts w:ascii="仿宋_GB2312" w:hAnsi="仿宋_GB2312" w:eastAsia="仿宋_GB2312" w:cs="仿宋_GB2312"/>
          <w:b w:val="0"/>
          <w:bCs w:val="0"/>
          <w:kern w:val="2"/>
          <w:sz w:val="32"/>
          <w:szCs w:val="32"/>
          <w:lang w:val="en-US" w:eastAsia="zh-CN" w:bidi="ar-SA"/>
        </w:rPr>
        <w:t>等方式，</w:t>
      </w:r>
      <w:r>
        <w:rPr>
          <w:rFonts w:hint="eastAsia" w:ascii="仿宋_GB2312" w:hAnsi="仿宋_GB2312" w:eastAsia="仿宋_GB2312" w:cs="仿宋_GB2312"/>
          <w:b w:val="0"/>
          <w:bCs w:val="0"/>
          <w:kern w:val="2"/>
          <w:sz w:val="32"/>
          <w:szCs w:val="32"/>
          <w:lang w:val="en-US" w:eastAsia="zh-CN" w:bidi="ar-SA"/>
        </w:rPr>
        <w:t>重点保护猕猴、豹猫等国家重点保护野生动物，以及桫椤、仙湖苏铁、土沉香、金毛狗蕨等珍稀濒危植物。</w:t>
      </w:r>
    </w:p>
    <w:p w14:paraId="54BE045E">
      <w:pPr>
        <w:keepNext w:val="0"/>
        <w:keepLines w:val="0"/>
        <w:pageBreakBefore w:val="0"/>
        <w:widowControl w:val="0"/>
        <w:numPr>
          <w:ilvl w:val="0"/>
          <w:numId w:val="0"/>
        </w:numPr>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第八条</w:t>
      </w:r>
      <w:r>
        <w:rPr>
          <w:rFonts w:hint="eastAsia" w:ascii="仿宋_GB2312" w:hAnsi="仿宋_GB2312" w:eastAsia="仿宋_GB2312" w:cs="仿宋_GB2312"/>
          <w:b w:val="0"/>
          <w:bCs w:val="0"/>
          <w:kern w:val="2"/>
          <w:sz w:val="32"/>
          <w:szCs w:val="32"/>
          <w:lang w:val="en-US" w:eastAsia="zh-CN" w:bidi="ar-SA"/>
        </w:rPr>
        <w:t xml:space="preserve"> 【</w:t>
      </w:r>
      <w:r>
        <w:rPr>
          <w:rFonts w:ascii="仿宋_GB2312" w:hAnsi="仿宋_GB2312" w:eastAsia="仿宋_GB2312" w:cs="仿宋_GB2312"/>
          <w:b w:val="0"/>
          <w:bCs w:val="0"/>
          <w:kern w:val="2"/>
          <w:sz w:val="32"/>
          <w:szCs w:val="32"/>
          <w:lang w:val="en-US" w:eastAsia="zh-CN" w:bidi="ar-SA"/>
        </w:rPr>
        <w:t>生态保护</w:t>
      </w:r>
      <w:r>
        <w:rPr>
          <w:rFonts w:hint="eastAsia" w:ascii="仿宋_GB2312" w:hAnsi="仿宋_GB2312" w:eastAsia="仿宋_GB2312" w:cs="仿宋_GB2312"/>
          <w:b w:val="0"/>
          <w:bCs w:val="0"/>
          <w:kern w:val="2"/>
          <w:sz w:val="32"/>
          <w:szCs w:val="32"/>
          <w:lang w:val="en-US" w:eastAsia="zh-CN" w:bidi="ar-SA"/>
        </w:rPr>
        <w:t>】市规划和自然资源、</w:t>
      </w:r>
      <w:r>
        <w:rPr>
          <w:rFonts w:ascii="仿宋_GB2312" w:hAnsi="仿宋_GB2312" w:eastAsia="仿宋_GB2312" w:cs="仿宋_GB2312"/>
          <w:b w:val="0"/>
          <w:bCs w:val="0"/>
          <w:kern w:val="2"/>
          <w:sz w:val="32"/>
          <w:szCs w:val="32"/>
          <w:lang w:val="en-US" w:eastAsia="zh-CN" w:bidi="ar-SA"/>
        </w:rPr>
        <w:t>生态环境、</w:t>
      </w:r>
      <w:r>
        <w:rPr>
          <w:rFonts w:hint="eastAsia" w:ascii="仿宋_GB2312" w:hAnsi="仿宋_GB2312" w:eastAsia="仿宋_GB2312" w:cs="仿宋_GB2312"/>
          <w:b w:val="0"/>
          <w:bCs w:val="0"/>
          <w:kern w:val="2"/>
          <w:sz w:val="32"/>
          <w:szCs w:val="32"/>
          <w:lang w:val="en-US" w:eastAsia="zh-CN" w:bidi="ar-SA"/>
        </w:rPr>
        <w:t>城管和综合执法</w:t>
      </w:r>
      <w:r>
        <w:rPr>
          <w:rFonts w:ascii="仿宋_GB2312" w:hAnsi="仿宋_GB2312" w:eastAsia="仿宋_GB2312" w:cs="仿宋_GB2312"/>
          <w:b w:val="0"/>
          <w:bCs w:val="0"/>
          <w:kern w:val="2"/>
          <w:sz w:val="32"/>
          <w:szCs w:val="32"/>
          <w:lang w:val="en-US" w:eastAsia="zh-CN" w:bidi="ar-SA"/>
        </w:rPr>
        <w:t>等</w:t>
      </w:r>
      <w:r>
        <w:rPr>
          <w:rFonts w:hint="eastAsia" w:ascii="仿宋_GB2312" w:hAnsi="仿宋_GB2312" w:eastAsia="仿宋_GB2312" w:cs="仿宋_GB2312"/>
          <w:b w:val="0"/>
          <w:bCs w:val="0"/>
          <w:kern w:val="2"/>
          <w:sz w:val="32"/>
          <w:szCs w:val="32"/>
          <w:lang w:val="en-US" w:eastAsia="zh-CN" w:bidi="ar-SA"/>
        </w:rPr>
        <w:t>有关部门应当在各自职责范围内建立野生动植物监测体系，</w:t>
      </w:r>
      <w:r>
        <w:rPr>
          <w:rFonts w:hint="default" w:ascii="仿宋_GB2312" w:hAnsi="仿宋_GB2312" w:eastAsia="仿宋_GB2312" w:cs="仿宋_GB2312"/>
          <w:b w:val="0"/>
          <w:bCs w:val="0"/>
          <w:kern w:val="2"/>
          <w:sz w:val="32"/>
          <w:szCs w:val="32"/>
          <w:lang w:val="en-US" w:eastAsia="zh-CN" w:bidi="ar-SA"/>
        </w:rPr>
        <w:t>强化技术赋能</w:t>
      </w:r>
      <w:r>
        <w:rPr>
          <w:rFonts w:hint="eastAsia" w:ascii="仿宋_GB2312" w:hAnsi="仿宋_GB2312" w:eastAsia="仿宋_GB2312" w:cs="仿宋_GB2312"/>
          <w:b w:val="0"/>
          <w:bCs w:val="0"/>
          <w:kern w:val="2"/>
          <w:sz w:val="32"/>
          <w:szCs w:val="32"/>
          <w:lang w:val="en-US" w:eastAsia="zh-CN" w:bidi="ar-SA"/>
        </w:rPr>
        <w:t>，合理</w:t>
      </w:r>
      <w:r>
        <w:rPr>
          <w:rFonts w:hint="default" w:ascii="仿宋_GB2312" w:hAnsi="仿宋_GB2312" w:eastAsia="仿宋_GB2312" w:cs="仿宋_GB2312"/>
          <w:b w:val="0"/>
          <w:bCs w:val="0"/>
          <w:kern w:val="2"/>
          <w:sz w:val="32"/>
          <w:szCs w:val="32"/>
          <w:lang w:val="en-US" w:eastAsia="zh-CN" w:bidi="ar-SA"/>
        </w:rPr>
        <w:t>利用人工智能、物联感知等新型技术手段</w:t>
      </w:r>
      <w:r>
        <w:rPr>
          <w:rFonts w:hint="eastAsia" w:ascii="仿宋_GB2312" w:hAnsi="仿宋_GB2312" w:eastAsia="仿宋_GB2312" w:cs="仿宋_GB2312"/>
          <w:b w:val="0"/>
          <w:bCs w:val="0"/>
          <w:kern w:val="2"/>
          <w:sz w:val="32"/>
          <w:szCs w:val="32"/>
          <w:lang w:val="en-US" w:eastAsia="zh-CN" w:bidi="ar-SA"/>
        </w:rPr>
        <w:t>，开展生态风险评估预警和人类活动影响分析，并采取相应的保护措施。</w:t>
      </w:r>
    </w:p>
    <w:p w14:paraId="27F522C1">
      <w:pPr>
        <w:keepNext w:val="0"/>
        <w:keepLines w:val="0"/>
        <w:pageBreakBefore w:val="0"/>
        <w:widowControl w:val="0"/>
        <w:numPr>
          <w:ilvl w:val="0"/>
          <w:numId w:val="0"/>
        </w:numPr>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保护范围内野生动植物栖息地、原生地</w:t>
      </w:r>
      <w:r>
        <w:rPr>
          <w:rFonts w:ascii="仿宋_GB2312" w:hAnsi="仿宋_GB2312" w:eastAsia="仿宋_GB2312" w:cs="仿宋_GB2312"/>
          <w:b w:val="0"/>
          <w:bCs w:val="0"/>
          <w:kern w:val="2"/>
          <w:sz w:val="32"/>
          <w:szCs w:val="32"/>
          <w:lang w:val="en-US" w:eastAsia="zh-CN" w:bidi="ar-SA"/>
        </w:rPr>
        <w:t>应当加强</w:t>
      </w:r>
      <w:r>
        <w:rPr>
          <w:rFonts w:hint="eastAsia" w:ascii="仿宋_GB2312" w:hAnsi="仿宋_GB2312" w:eastAsia="仿宋_GB2312" w:cs="仿宋_GB2312"/>
          <w:b w:val="0"/>
          <w:bCs w:val="0"/>
          <w:kern w:val="2"/>
          <w:sz w:val="32"/>
          <w:szCs w:val="32"/>
          <w:lang w:val="en-US" w:eastAsia="zh-CN" w:bidi="ar-SA"/>
        </w:rPr>
        <w:t>保护，减少人类活动干扰。对受到威胁且原栖息地已不能满足生存繁衍需要的物种，</w:t>
      </w:r>
      <w:r>
        <w:rPr>
          <w:rFonts w:ascii="仿宋_GB2312" w:hAnsi="仿宋_GB2312" w:eastAsia="仿宋_GB2312" w:cs="仿宋_GB2312"/>
          <w:b w:val="0"/>
          <w:bCs w:val="0"/>
          <w:kern w:val="2"/>
          <w:sz w:val="32"/>
          <w:szCs w:val="32"/>
          <w:lang w:val="en-US" w:eastAsia="zh-CN" w:bidi="ar-SA"/>
        </w:rPr>
        <w:t>可以</w:t>
      </w:r>
      <w:r>
        <w:rPr>
          <w:rFonts w:hint="eastAsia" w:ascii="仿宋_GB2312" w:hAnsi="仿宋_GB2312" w:eastAsia="仿宋_GB2312" w:cs="仿宋_GB2312"/>
          <w:b w:val="0"/>
          <w:bCs w:val="0"/>
          <w:kern w:val="2"/>
          <w:sz w:val="32"/>
          <w:szCs w:val="32"/>
          <w:lang w:val="en-US" w:eastAsia="zh-CN" w:bidi="ar-SA"/>
        </w:rPr>
        <w:t>采取建立繁育基地、基因库、种质资源库或者迁地保护等拯救措施；对种群数量明显超过环境容量的物种，可以采取种群调控措施。</w:t>
      </w:r>
    </w:p>
    <w:p w14:paraId="06F53AA4">
      <w:pPr>
        <w:keepNext w:val="0"/>
        <w:keepLines w:val="0"/>
        <w:pageBreakBefore w:val="0"/>
        <w:widowControl w:val="0"/>
        <w:numPr>
          <w:ilvl w:val="0"/>
          <w:numId w:val="0"/>
        </w:numPr>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第九条</w:t>
      </w:r>
      <w:r>
        <w:rPr>
          <w:rFonts w:hint="eastAsia" w:ascii="仿宋_GB2312" w:hAnsi="仿宋_GB2312" w:eastAsia="仿宋_GB2312" w:cs="仿宋_GB2312"/>
          <w:b w:val="0"/>
          <w:bCs w:val="0"/>
          <w:kern w:val="2"/>
          <w:sz w:val="32"/>
          <w:szCs w:val="32"/>
          <w:lang w:val="en-US" w:eastAsia="zh-CN" w:bidi="ar-SA"/>
        </w:rPr>
        <w:t xml:space="preserve"> 【野生动物保护】任何</w:t>
      </w:r>
      <w:r>
        <w:rPr>
          <w:rFonts w:hint="default" w:ascii="仿宋_GB2312" w:hAnsi="仿宋_GB2312" w:eastAsia="仿宋_GB2312" w:cs="仿宋_GB2312"/>
          <w:b w:val="0"/>
          <w:bCs w:val="0"/>
          <w:kern w:val="2"/>
          <w:sz w:val="32"/>
          <w:szCs w:val="32"/>
          <w:lang w:val="en-US" w:eastAsia="zh-CN" w:bidi="ar-SA"/>
        </w:rPr>
        <w:t>单位</w:t>
      </w:r>
      <w:r>
        <w:rPr>
          <w:rFonts w:hint="eastAsia" w:ascii="仿宋_GB2312" w:hAnsi="仿宋_GB2312" w:eastAsia="仿宋_GB2312" w:cs="仿宋_GB2312"/>
          <w:b w:val="0"/>
          <w:bCs w:val="0"/>
          <w:kern w:val="2"/>
          <w:sz w:val="32"/>
          <w:szCs w:val="32"/>
          <w:lang w:val="en-US" w:eastAsia="zh-CN" w:bidi="ar-SA"/>
        </w:rPr>
        <w:t>和个人有保护野生动物及其栖息地的义务，不得在保护范围内从事</w:t>
      </w:r>
      <w:r>
        <w:rPr>
          <w:rFonts w:ascii="仿宋_GB2312" w:hAnsi="仿宋_GB2312" w:eastAsia="仿宋_GB2312" w:cs="仿宋_GB2312"/>
          <w:b w:val="0"/>
          <w:bCs w:val="0"/>
          <w:kern w:val="2"/>
          <w:sz w:val="32"/>
          <w:szCs w:val="32"/>
          <w:lang w:val="en-US" w:eastAsia="zh-CN" w:bidi="ar-SA"/>
        </w:rPr>
        <w:t>以下</w:t>
      </w:r>
      <w:r>
        <w:rPr>
          <w:rFonts w:hint="eastAsia" w:ascii="仿宋_GB2312" w:hAnsi="仿宋_GB2312" w:eastAsia="仿宋_GB2312" w:cs="仿宋_GB2312"/>
          <w:b w:val="0"/>
          <w:bCs w:val="0"/>
          <w:kern w:val="2"/>
          <w:sz w:val="32"/>
          <w:szCs w:val="32"/>
          <w:lang w:val="en-US" w:eastAsia="zh-CN" w:bidi="ar-SA"/>
        </w:rPr>
        <w:t>行为：</w:t>
      </w:r>
    </w:p>
    <w:p w14:paraId="7EEB8C96">
      <w:pPr>
        <w:keepNext w:val="0"/>
        <w:keepLines w:val="0"/>
        <w:pageBreakBefore w:val="0"/>
        <w:widowControl w:val="0"/>
        <w:numPr>
          <w:ilvl w:val="0"/>
          <w:numId w:val="0"/>
        </w:numPr>
        <w:overflowPunct w:val="0"/>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（一）主动攻击、故意伤害或者挑逗、擅自投喂猕猴、野猪等野生动物；</w:t>
      </w:r>
    </w:p>
    <w:p w14:paraId="750B043D">
      <w:pPr>
        <w:keepNext w:val="0"/>
        <w:keepLines w:val="0"/>
        <w:pageBreakBefore w:val="0"/>
        <w:widowControl w:val="0"/>
        <w:numPr>
          <w:ilvl w:val="0"/>
          <w:numId w:val="0"/>
        </w:numPr>
        <w:overflowPunct w:val="0"/>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（二）非法猎捕或者其他妨碍野生动物生息繁衍的活动；</w:t>
      </w:r>
    </w:p>
    <w:p w14:paraId="01BC1CBF">
      <w:pPr>
        <w:keepNext w:val="0"/>
        <w:keepLines w:val="0"/>
        <w:pageBreakBefore w:val="0"/>
        <w:widowControl w:val="0"/>
        <w:numPr>
          <w:ilvl w:val="0"/>
          <w:numId w:val="0"/>
        </w:numPr>
        <w:overflowPunct w:val="0"/>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（三）放生人工饲养动物；未经批准，擅自放生野生动物；</w:t>
      </w:r>
    </w:p>
    <w:p w14:paraId="3DF7D921">
      <w:pPr>
        <w:keepNext w:val="0"/>
        <w:keepLines w:val="0"/>
        <w:pageBreakBefore w:val="0"/>
        <w:widowControl w:val="0"/>
        <w:numPr>
          <w:ilvl w:val="0"/>
          <w:numId w:val="0"/>
        </w:numPr>
        <w:overflowPunct w:val="0"/>
        <w:spacing w:line="560" w:lineRule="exact"/>
        <w:ind w:firstLine="640" w:firstLineChars="200"/>
        <w:jc w:val="both"/>
        <w:rPr>
          <w:rFonts w:hint="eastAsia" w:ascii="黑体" w:hAnsi="黑体" w:eastAsia="黑体" w:cs="黑体"/>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（四）法律法规规定的其他禁止性行为。</w:t>
      </w:r>
    </w:p>
    <w:p w14:paraId="6F7CC635">
      <w:pPr>
        <w:keepNext w:val="0"/>
        <w:keepLines w:val="0"/>
        <w:pageBreakBefore w:val="0"/>
        <w:widowControl w:val="0"/>
        <w:numPr>
          <w:ilvl w:val="0"/>
          <w:numId w:val="0"/>
        </w:numPr>
        <w:spacing w:line="560" w:lineRule="exact"/>
        <w:ind w:firstLine="640" w:firstLineChars="200"/>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24"/>
          <w:lang w:val="en-US" w:eastAsia="zh-CN" w:bidi="ar-SA"/>
        </w:rPr>
        <w:t>第十条</w:t>
      </w:r>
      <w:r>
        <w:rPr>
          <w:rFonts w:hint="eastAsia" w:ascii="仿宋_GB2312" w:hAnsi="仿宋_GB2312" w:eastAsia="仿宋_GB2312" w:cs="仿宋_GB2312"/>
          <w:b w:val="0"/>
          <w:bCs w:val="0"/>
          <w:kern w:val="2"/>
          <w:sz w:val="32"/>
          <w:szCs w:val="24"/>
          <w:lang w:val="en-US" w:eastAsia="zh-CN" w:bidi="ar-SA"/>
        </w:rPr>
        <w:t xml:space="preserve"> 【野生植物保护】市规划和自然资源部门及其他有关部门可以根据需要在</w:t>
      </w:r>
      <w:r>
        <w:rPr>
          <w:rFonts w:hint="eastAsia" w:ascii="仿宋_GB2312" w:hAnsi="仿宋_GB2312" w:eastAsia="仿宋_GB2312" w:cs="仿宋_GB2312"/>
          <w:b w:val="0"/>
          <w:bCs w:val="0"/>
          <w:kern w:val="2"/>
          <w:sz w:val="32"/>
          <w:szCs w:val="32"/>
          <w:lang w:val="en-US" w:eastAsia="zh-CN" w:bidi="ar-SA"/>
        </w:rPr>
        <w:t>保护范围</w:t>
      </w:r>
      <w:r>
        <w:rPr>
          <w:rFonts w:hint="eastAsia" w:ascii="仿宋_GB2312" w:hAnsi="仿宋_GB2312" w:eastAsia="仿宋_GB2312" w:cs="仿宋_GB2312"/>
          <w:b w:val="0"/>
          <w:bCs w:val="0"/>
          <w:kern w:val="2"/>
          <w:sz w:val="32"/>
          <w:szCs w:val="24"/>
          <w:lang w:val="en-US" w:eastAsia="zh-CN" w:bidi="ar-SA"/>
        </w:rPr>
        <w:t>内设立野生植物保护点或者保护标志。</w:t>
      </w:r>
    </w:p>
    <w:p w14:paraId="45DE30E2">
      <w:pPr>
        <w:keepNext w:val="0"/>
        <w:keepLines w:val="0"/>
        <w:pageBreakBefore w:val="0"/>
        <w:widowControl w:val="0"/>
        <w:numPr>
          <w:ilvl w:val="0"/>
          <w:numId w:val="0"/>
        </w:numPr>
        <w:spacing w:line="560" w:lineRule="exact"/>
        <w:ind w:left="0"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24"/>
          <w:lang w:val="en-US" w:eastAsia="zh-CN" w:bidi="ar-SA"/>
        </w:rPr>
        <w:t>任何单位和个人不得在</w:t>
      </w:r>
      <w:r>
        <w:rPr>
          <w:rFonts w:hint="eastAsia" w:ascii="仿宋_GB2312" w:hAnsi="仿宋_GB2312" w:eastAsia="仿宋_GB2312" w:cs="仿宋_GB2312"/>
          <w:b w:val="0"/>
          <w:bCs w:val="0"/>
          <w:kern w:val="2"/>
          <w:sz w:val="32"/>
          <w:szCs w:val="32"/>
          <w:lang w:val="en-US" w:eastAsia="zh-CN" w:bidi="ar-SA"/>
        </w:rPr>
        <w:t>保护范围</w:t>
      </w:r>
      <w:r>
        <w:rPr>
          <w:rFonts w:hint="eastAsia" w:ascii="仿宋_GB2312" w:hAnsi="仿宋_GB2312" w:eastAsia="仿宋_GB2312" w:cs="仿宋_GB2312"/>
          <w:b w:val="0"/>
          <w:bCs w:val="0"/>
          <w:kern w:val="2"/>
          <w:sz w:val="32"/>
          <w:szCs w:val="24"/>
          <w:lang w:val="en-US" w:eastAsia="zh-CN" w:bidi="ar-SA"/>
        </w:rPr>
        <w:t>内开展非法采集和其他破坏野生植物及其生长环境的活动；不得擅自引入、种植非原生地外来植物。</w:t>
      </w:r>
    </w:p>
    <w:p w14:paraId="08FC12D1">
      <w:pPr>
        <w:keepNext w:val="0"/>
        <w:keepLines w:val="0"/>
        <w:pageBreakBefore w:val="0"/>
        <w:widowControl w:val="0"/>
        <w:numPr>
          <w:ilvl w:val="0"/>
          <w:numId w:val="0"/>
        </w:numPr>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第十一条</w:t>
      </w:r>
      <w:r>
        <w:rPr>
          <w:rFonts w:hint="eastAsia" w:ascii="仿宋_GB2312" w:hAnsi="仿宋_GB2312" w:eastAsia="仿宋_GB2312" w:cs="仿宋_GB2312"/>
          <w:b w:val="0"/>
          <w:bCs w:val="0"/>
          <w:kern w:val="2"/>
          <w:sz w:val="32"/>
          <w:szCs w:val="32"/>
          <w:lang w:val="en-US" w:eastAsia="zh-CN" w:bidi="ar-SA"/>
        </w:rPr>
        <w:t xml:space="preserve"> 【无障碍环境建设】保护范围内的管理单位</w:t>
      </w:r>
      <w:r>
        <w:rPr>
          <w:rFonts w:hint="eastAsia" w:ascii="仿宋_GB2312" w:hAnsi="仿宋_GB2312" w:eastAsia="仿宋_GB2312" w:cs="仿宋_GB2312"/>
          <w:b w:val="0"/>
          <w:bCs w:val="0"/>
          <w:kern w:val="2"/>
          <w:sz w:val="32"/>
          <w:szCs w:val="24"/>
          <w:lang w:val="en-US" w:eastAsia="zh-CN" w:bidi="ar-SA"/>
        </w:rPr>
        <w:t>应当根据无障碍环境建设等相关法律法规的规定，</w:t>
      </w:r>
      <w:r>
        <w:rPr>
          <w:rFonts w:ascii="仿宋_GB2312" w:hAnsi="仿宋_GB2312" w:eastAsia="仿宋_GB2312" w:cs="仿宋_GB2312"/>
          <w:b w:val="0"/>
          <w:bCs w:val="0"/>
          <w:kern w:val="2"/>
          <w:sz w:val="32"/>
          <w:szCs w:val="32"/>
          <w:lang w:val="en-US" w:eastAsia="zh-CN" w:bidi="ar-SA"/>
        </w:rPr>
        <w:t>因地制宜</w:t>
      </w:r>
      <w:r>
        <w:rPr>
          <w:rFonts w:hint="eastAsia" w:ascii="仿宋_GB2312" w:hAnsi="仿宋_GB2312" w:eastAsia="仿宋_GB2312" w:cs="仿宋_GB2312"/>
          <w:b w:val="0"/>
          <w:bCs w:val="0"/>
          <w:kern w:val="2"/>
          <w:sz w:val="32"/>
          <w:szCs w:val="32"/>
          <w:lang w:val="en-US" w:eastAsia="zh-CN" w:bidi="ar-SA"/>
        </w:rPr>
        <w:t>、科学合理配备无障碍设施，</w:t>
      </w:r>
      <w:r>
        <w:rPr>
          <w:rFonts w:ascii="仿宋_GB2312" w:hAnsi="仿宋_GB2312" w:eastAsia="仿宋_GB2312" w:cs="仿宋_GB2312"/>
          <w:b w:val="0"/>
          <w:bCs w:val="0"/>
          <w:kern w:val="2"/>
          <w:sz w:val="32"/>
          <w:szCs w:val="32"/>
          <w:lang w:val="en-US" w:eastAsia="zh-CN" w:bidi="ar-SA"/>
        </w:rPr>
        <w:t>为</w:t>
      </w:r>
      <w:r>
        <w:rPr>
          <w:rFonts w:hint="eastAsia" w:ascii="仿宋_GB2312" w:hAnsi="仿宋_GB2312" w:eastAsia="仿宋_GB2312" w:cs="仿宋_GB2312"/>
          <w:b w:val="0"/>
          <w:bCs w:val="0"/>
          <w:kern w:val="2"/>
          <w:sz w:val="32"/>
          <w:szCs w:val="32"/>
          <w:lang w:val="en-US" w:eastAsia="zh-CN" w:bidi="ar-SA"/>
        </w:rPr>
        <w:t>老年人、残疾人等特殊人群</w:t>
      </w:r>
      <w:r>
        <w:rPr>
          <w:rFonts w:ascii="仿宋_GB2312" w:hAnsi="仿宋_GB2312" w:eastAsia="仿宋_GB2312" w:cs="仿宋_GB2312"/>
          <w:b w:val="0"/>
          <w:bCs w:val="0"/>
          <w:kern w:val="2"/>
          <w:sz w:val="32"/>
          <w:szCs w:val="32"/>
          <w:lang w:val="en-US" w:eastAsia="zh-CN" w:bidi="ar-SA"/>
        </w:rPr>
        <w:t>提供</w:t>
      </w:r>
      <w:r>
        <w:rPr>
          <w:rFonts w:hint="eastAsia" w:ascii="仿宋_GB2312" w:hAnsi="仿宋_GB2312" w:eastAsia="仿宋_GB2312" w:cs="仿宋_GB2312"/>
          <w:b w:val="0"/>
          <w:bCs w:val="0"/>
          <w:kern w:val="2"/>
          <w:sz w:val="32"/>
          <w:szCs w:val="32"/>
          <w:lang w:val="en-US" w:eastAsia="zh-CN" w:bidi="ar-SA"/>
        </w:rPr>
        <w:t>游览便利。</w:t>
      </w:r>
    </w:p>
    <w:p w14:paraId="442D8F44">
      <w:pPr>
        <w:keepNext w:val="0"/>
        <w:keepLines w:val="0"/>
        <w:pageBreakBefore w:val="0"/>
        <w:widowControl w:val="0"/>
        <w:numPr>
          <w:ilvl w:val="0"/>
          <w:numId w:val="0"/>
        </w:numPr>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第十二条</w:t>
      </w:r>
      <w:r>
        <w:rPr>
          <w:rFonts w:hint="eastAsia" w:ascii="仿宋_GB2312" w:hAnsi="仿宋_GB2312" w:eastAsia="仿宋_GB2312" w:cs="仿宋_GB2312"/>
          <w:b w:val="0"/>
          <w:bCs w:val="0"/>
          <w:kern w:val="2"/>
          <w:sz w:val="32"/>
          <w:szCs w:val="32"/>
          <w:lang w:val="en-US" w:eastAsia="zh-CN" w:bidi="ar-SA"/>
        </w:rPr>
        <w:t xml:space="preserve"> </w:t>
      </w:r>
      <w:r>
        <w:rPr>
          <w:rFonts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合理利用</w:t>
      </w:r>
      <w:r>
        <w:rPr>
          <w:rFonts w:ascii="仿宋_GB2312" w:hAnsi="仿宋_GB2312" w:eastAsia="仿宋_GB2312" w:cs="仿宋_GB2312"/>
          <w:b w:val="0"/>
          <w:bCs w:val="0"/>
          <w:kern w:val="2"/>
          <w:sz w:val="32"/>
          <w:szCs w:val="32"/>
          <w:lang w:val="en-US" w:eastAsia="zh-CN" w:bidi="ar-SA"/>
        </w:rPr>
        <w:t>】在生态承载力范围内，公众可以</w:t>
      </w:r>
      <w:r>
        <w:rPr>
          <w:rFonts w:hint="eastAsia" w:ascii="仿宋_GB2312" w:hAnsi="仿宋_GB2312" w:eastAsia="仿宋_GB2312" w:cs="仿宋_GB2312"/>
          <w:b w:val="0"/>
          <w:bCs w:val="0"/>
          <w:kern w:val="2"/>
          <w:sz w:val="32"/>
          <w:szCs w:val="32"/>
          <w:lang w:val="en-US" w:eastAsia="zh-CN" w:bidi="ar-SA"/>
        </w:rPr>
        <w:t>根据生态单元规划</w:t>
      </w:r>
      <w:r>
        <w:rPr>
          <w:rFonts w:ascii="仿宋_GB2312" w:hAnsi="仿宋_GB2312" w:eastAsia="仿宋_GB2312" w:cs="仿宋_GB2312"/>
          <w:b w:val="0"/>
          <w:bCs w:val="0"/>
          <w:kern w:val="2"/>
          <w:sz w:val="32"/>
          <w:szCs w:val="32"/>
          <w:lang w:val="en-US" w:eastAsia="zh-CN" w:bidi="ar-SA"/>
        </w:rPr>
        <w:t>开展以下活动：</w:t>
      </w:r>
    </w:p>
    <w:p w14:paraId="66D088A4">
      <w:pPr>
        <w:keepNext w:val="0"/>
        <w:keepLines w:val="0"/>
        <w:pageBreakBefore w:val="0"/>
        <w:widowControl w:val="0"/>
        <w:numPr>
          <w:ilvl w:val="0"/>
          <w:numId w:val="0"/>
        </w:numPr>
        <w:spacing w:line="560" w:lineRule="exact"/>
        <w:ind w:firstLine="640" w:firstLineChars="200"/>
        <w:jc w:val="both"/>
        <w:rPr>
          <w:rFonts w:hint="eastAsia" w:ascii="仿宋_GB2312" w:hAnsi="仿宋_GB2312" w:eastAsia="仿宋_GB2312" w:cs="仿宋_GB2312"/>
          <w:b w:val="0"/>
          <w:bCs w:val="0"/>
          <w:kern w:val="2"/>
          <w:sz w:val="32"/>
          <w:szCs w:val="24"/>
          <w:lang w:val="en-US" w:eastAsia="zh-CN" w:bidi="ar-SA"/>
        </w:rPr>
      </w:pPr>
      <w:r>
        <w:rPr>
          <w:rFonts w:hint="eastAsia" w:ascii="仿宋_GB2312" w:hAnsi="仿宋_GB2312" w:eastAsia="仿宋_GB2312" w:cs="仿宋_GB2312"/>
          <w:b w:val="0"/>
          <w:bCs w:val="0"/>
          <w:kern w:val="2"/>
          <w:sz w:val="32"/>
          <w:szCs w:val="24"/>
          <w:lang w:val="en-US" w:eastAsia="zh-CN" w:bidi="ar-SA"/>
        </w:rPr>
        <w:t>（一）徒步、登山等户外运动</w:t>
      </w:r>
      <w:r>
        <w:rPr>
          <w:rFonts w:ascii="仿宋_GB2312" w:hAnsi="仿宋_GB2312" w:eastAsia="仿宋_GB2312" w:cs="仿宋_GB2312"/>
          <w:b w:val="0"/>
          <w:bCs w:val="0"/>
          <w:kern w:val="2"/>
          <w:sz w:val="32"/>
          <w:szCs w:val="24"/>
          <w:lang w:val="en-US" w:eastAsia="zh-CN" w:bidi="ar-SA"/>
        </w:rPr>
        <w:t>；</w:t>
      </w:r>
    </w:p>
    <w:p w14:paraId="7F0FA952">
      <w:pPr>
        <w:keepNext w:val="0"/>
        <w:keepLines w:val="0"/>
        <w:pageBreakBefore w:val="0"/>
        <w:widowControl w:val="0"/>
        <w:spacing w:line="560" w:lineRule="exact"/>
        <w:ind w:firstLine="640" w:firstLineChars="200"/>
        <w:jc w:val="both"/>
        <w:rPr>
          <w:rFonts w:hint="eastAsia" w:ascii="仿宋_GB2312" w:hAnsi="仿宋_GB2312" w:eastAsia="仿宋_GB2312" w:cs="仿宋_GB2312"/>
          <w:b w:val="0"/>
          <w:bCs w:val="0"/>
          <w:kern w:val="2"/>
          <w:sz w:val="32"/>
          <w:szCs w:val="24"/>
          <w:lang w:val="en-US" w:eastAsia="zh-CN" w:bidi="ar-SA"/>
        </w:rPr>
      </w:pPr>
      <w:r>
        <w:rPr>
          <w:rFonts w:hint="eastAsia" w:ascii="仿宋_GB2312" w:hAnsi="仿宋_GB2312" w:eastAsia="仿宋_GB2312" w:cs="仿宋_GB2312"/>
          <w:b w:val="0"/>
          <w:bCs w:val="0"/>
          <w:kern w:val="2"/>
          <w:sz w:val="32"/>
          <w:szCs w:val="24"/>
          <w:lang w:val="en-US" w:eastAsia="zh-CN" w:bidi="ar-SA"/>
        </w:rPr>
        <w:t>（</w:t>
      </w:r>
      <w:r>
        <w:rPr>
          <w:rFonts w:ascii="仿宋_GB2312" w:hAnsi="仿宋_GB2312" w:eastAsia="仿宋_GB2312" w:cs="仿宋_GB2312"/>
          <w:b w:val="0"/>
          <w:bCs w:val="0"/>
          <w:kern w:val="2"/>
          <w:sz w:val="32"/>
          <w:szCs w:val="24"/>
          <w:lang w:val="en-US" w:eastAsia="zh-CN" w:bidi="ar-SA"/>
        </w:rPr>
        <w:t>二</w:t>
      </w:r>
      <w:r>
        <w:rPr>
          <w:rFonts w:hint="eastAsia" w:ascii="仿宋_GB2312" w:hAnsi="仿宋_GB2312" w:eastAsia="仿宋_GB2312" w:cs="仿宋_GB2312"/>
          <w:b w:val="0"/>
          <w:bCs w:val="0"/>
          <w:kern w:val="2"/>
          <w:sz w:val="32"/>
          <w:szCs w:val="24"/>
          <w:lang w:val="en-US" w:eastAsia="zh-CN" w:bidi="ar-SA"/>
        </w:rPr>
        <w:t>）森林康养、森林疗愈、旅游观光等生态旅游体验</w:t>
      </w:r>
      <w:r>
        <w:rPr>
          <w:rFonts w:ascii="仿宋_GB2312" w:hAnsi="仿宋_GB2312" w:eastAsia="仿宋_GB2312" w:cs="仿宋_GB2312"/>
          <w:b w:val="0"/>
          <w:bCs w:val="0"/>
          <w:kern w:val="2"/>
          <w:sz w:val="32"/>
          <w:szCs w:val="24"/>
          <w:lang w:val="en-US" w:eastAsia="zh-CN" w:bidi="ar-SA"/>
        </w:rPr>
        <w:t>活动</w:t>
      </w:r>
      <w:r>
        <w:rPr>
          <w:rFonts w:hint="eastAsia" w:ascii="仿宋_GB2312" w:hAnsi="仿宋_GB2312" w:eastAsia="仿宋_GB2312" w:cs="仿宋_GB2312"/>
          <w:b w:val="0"/>
          <w:bCs w:val="0"/>
          <w:kern w:val="2"/>
          <w:sz w:val="32"/>
          <w:szCs w:val="24"/>
          <w:lang w:val="en-US" w:eastAsia="zh-CN" w:bidi="ar-SA"/>
        </w:rPr>
        <w:t>；</w:t>
      </w:r>
    </w:p>
    <w:p w14:paraId="73922C69">
      <w:pPr>
        <w:keepNext w:val="0"/>
        <w:keepLines w:val="0"/>
        <w:pageBreakBefore w:val="0"/>
        <w:widowControl w:val="0"/>
        <w:spacing w:line="560" w:lineRule="exact"/>
        <w:ind w:firstLine="640" w:firstLineChars="200"/>
        <w:jc w:val="both"/>
        <w:rPr>
          <w:rFonts w:hint="eastAsia" w:ascii="仿宋_GB2312" w:hAnsi="仿宋_GB2312" w:eastAsia="仿宋_GB2312" w:cs="仿宋_GB2312"/>
          <w:b w:val="0"/>
          <w:bCs w:val="0"/>
          <w:kern w:val="2"/>
          <w:sz w:val="32"/>
          <w:szCs w:val="24"/>
          <w:lang w:val="en-US" w:eastAsia="zh-CN" w:bidi="ar-SA"/>
        </w:rPr>
      </w:pPr>
      <w:r>
        <w:rPr>
          <w:rFonts w:ascii="仿宋_GB2312" w:hAnsi="仿宋_GB2312" w:eastAsia="仿宋_GB2312" w:cs="仿宋_GB2312"/>
          <w:b w:val="0"/>
          <w:bCs w:val="0"/>
          <w:kern w:val="2"/>
          <w:sz w:val="32"/>
          <w:szCs w:val="24"/>
          <w:lang w:val="en-US" w:eastAsia="zh-CN" w:bidi="ar-SA"/>
        </w:rPr>
        <w:t>（三）</w:t>
      </w:r>
      <w:r>
        <w:rPr>
          <w:rFonts w:hint="eastAsia" w:ascii="仿宋_GB2312" w:hAnsi="仿宋_GB2312" w:eastAsia="仿宋_GB2312" w:cs="仿宋_GB2312"/>
          <w:b w:val="0"/>
          <w:bCs w:val="0"/>
          <w:kern w:val="2"/>
          <w:sz w:val="32"/>
          <w:szCs w:val="24"/>
          <w:lang w:val="en-US" w:eastAsia="zh-CN" w:bidi="ar-SA"/>
        </w:rPr>
        <w:t>野生动植物观测</w:t>
      </w:r>
      <w:r>
        <w:rPr>
          <w:rFonts w:ascii="仿宋_GB2312" w:hAnsi="仿宋_GB2312" w:eastAsia="仿宋_GB2312" w:cs="仿宋_GB2312"/>
          <w:b w:val="0"/>
          <w:bCs w:val="0"/>
          <w:kern w:val="2"/>
          <w:sz w:val="32"/>
          <w:szCs w:val="24"/>
          <w:lang w:val="en-US" w:eastAsia="zh-CN" w:bidi="ar-SA"/>
        </w:rPr>
        <w:t>、生态保护实践等自然教育活动</w:t>
      </w:r>
      <w:r>
        <w:rPr>
          <w:rFonts w:hint="eastAsia" w:ascii="仿宋_GB2312" w:hAnsi="仿宋_GB2312" w:eastAsia="仿宋_GB2312" w:cs="仿宋_GB2312"/>
          <w:b w:val="0"/>
          <w:bCs w:val="0"/>
          <w:kern w:val="2"/>
          <w:sz w:val="32"/>
          <w:szCs w:val="24"/>
          <w:lang w:val="en-US" w:eastAsia="zh-CN" w:bidi="ar-SA"/>
        </w:rPr>
        <w:t>。</w:t>
      </w:r>
    </w:p>
    <w:p w14:paraId="633BEAC7">
      <w:pPr>
        <w:keepNext w:val="0"/>
        <w:keepLines w:val="0"/>
        <w:pageBreakBefore w:val="0"/>
        <w:widowControl w:val="0"/>
        <w:numPr>
          <w:ilvl w:val="0"/>
          <w:numId w:val="0"/>
        </w:numPr>
        <w:spacing w:line="560" w:lineRule="exact"/>
        <w:ind w:firstLine="640" w:firstLineChars="200"/>
        <w:jc w:val="both"/>
        <w:rPr>
          <w:rFonts w:hint="default" w:ascii="仿宋_GB2312" w:hAnsi="仿宋_GB2312" w:eastAsia="仿宋_GB2312" w:cs="仿宋_GB2312"/>
          <w:b w:val="0"/>
          <w:bCs w:val="0"/>
          <w:kern w:val="2"/>
          <w:sz w:val="32"/>
          <w:szCs w:val="24"/>
          <w:lang w:val="en-US" w:eastAsia="zh-CN" w:bidi="ar-SA"/>
        </w:rPr>
      </w:pPr>
      <w:r>
        <w:rPr>
          <w:rFonts w:hint="eastAsia" w:ascii="黑体" w:hAnsi="黑体" w:eastAsia="黑体" w:cs="黑体"/>
          <w:b w:val="0"/>
          <w:bCs w:val="0"/>
          <w:kern w:val="2"/>
          <w:sz w:val="32"/>
          <w:szCs w:val="32"/>
          <w:lang w:val="en-US" w:eastAsia="zh-CN" w:bidi="ar-SA"/>
        </w:rPr>
        <w:t>第十三条</w:t>
      </w:r>
      <w:r>
        <w:rPr>
          <w:rFonts w:hint="eastAsia" w:ascii="仿宋_GB2312" w:hAnsi="仿宋_GB2312" w:eastAsia="仿宋_GB2312" w:cs="仿宋_GB2312"/>
          <w:b w:val="0"/>
          <w:bCs w:val="0"/>
          <w:kern w:val="2"/>
          <w:sz w:val="32"/>
          <w:szCs w:val="32"/>
          <w:lang w:val="en-US" w:eastAsia="zh-CN" w:bidi="ar-SA"/>
        </w:rPr>
        <w:t xml:space="preserve"> </w:t>
      </w:r>
      <w:r>
        <w:rPr>
          <w:rFonts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科研活动</w:t>
      </w:r>
      <w:r>
        <w:rPr>
          <w:rFonts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鼓励高等院校、科研机构在</w:t>
      </w:r>
      <w:r>
        <w:rPr>
          <w:rFonts w:hint="eastAsia" w:ascii="仿宋_GB2312" w:hAnsi="仿宋_GB2312" w:eastAsia="仿宋_GB2312" w:cs="仿宋_GB2312"/>
          <w:b w:val="0"/>
          <w:bCs w:val="0"/>
          <w:kern w:val="2"/>
          <w:sz w:val="32"/>
          <w:szCs w:val="32"/>
          <w:lang w:val="en-US" w:eastAsia="zh-CN" w:bidi="ar-SA"/>
        </w:rPr>
        <w:t>保护范围内依法从事科学研究、</w:t>
      </w:r>
      <w:r>
        <w:rPr>
          <w:rFonts w:hint="default" w:ascii="仿宋_GB2312" w:hAnsi="仿宋_GB2312" w:eastAsia="仿宋_GB2312" w:cs="仿宋_GB2312"/>
          <w:b w:val="0"/>
          <w:bCs w:val="0"/>
          <w:kern w:val="2"/>
          <w:sz w:val="32"/>
          <w:szCs w:val="32"/>
          <w:lang w:val="en-US" w:eastAsia="zh-CN" w:bidi="ar-SA"/>
        </w:rPr>
        <w:t>调查监测</w:t>
      </w:r>
      <w:r>
        <w:rPr>
          <w:rFonts w:hint="eastAsia" w:ascii="仿宋_GB2312" w:hAnsi="仿宋_GB2312" w:eastAsia="仿宋_GB2312" w:cs="仿宋_GB2312"/>
          <w:b w:val="0"/>
          <w:bCs w:val="0"/>
          <w:kern w:val="2"/>
          <w:sz w:val="32"/>
          <w:szCs w:val="32"/>
          <w:lang w:val="en-US" w:eastAsia="zh-CN" w:bidi="ar-SA"/>
        </w:rPr>
        <w:t>和标本采集</w:t>
      </w:r>
      <w:r>
        <w:rPr>
          <w:rFonts w:hint="default" w:ascii="仿宋_GB2312" w:hAnsi="仿宋_GB2312" w:eastAsia="仿宋_GB2312" w:cs="仿宋_GB2312"/>
          <w:b w:val="0"/>
          <w:bCs w:val="0"/>
          <w:kern w:val="2"/>
          <w:sz w:val="32"/>
          <w:szCs w:val="32"/>
          <w:lang w:val="en-US" w:eastAsia="zh-CN" w:bidi="ar-SA"/>
        </w:rPr>
        <w:t>等</w:t>
      </w:r>
      <w:r>
        <w:rPr>
          <w:rFonts w:hint="eastAsia" w:ascii="仿宋_GB2312" w:hAnsi="仿宋_GB2312" w:eastAsia="仿宋_GB2312" w:cs="仿宋_GB2312"/>
          <w:b w:val="0"/>
          <w:bCs w:val="0"/>
          <w:kern w:val="2"/>
          <w:sz w:val="32"/>
          <w:szCs w:val="32"/>
          <w:lang w:val="en-US" w:eastAsia="zh-CN" w:bidi="ar-SA"/>
        </w:rPr>
        <w:t>活</w:t>
      </w:r>
      <w:r>
        <w:rPr>
          <w:rFonts w:hint="default" w:ascii="仿宋_GB2312" w:hAnsi="仿宋_GB2312" w:eastAsia="仿宋_GB2312" w:cs="仿宋_GB2312"/>
          <w:b w:val="0"/>
          <w:bCs w:val="0"/>
          <w:kern w:val="2"/>
          <w:sz w:val="32"/>
          <w:szCs w:val="32"/>
          <w:lang w:val="en-US" w:eastAsia="zh-CN" w:bidi="ar-SA"/>
        </w:rPr>
        <w:t>动，</w:t>
      </w:r>
      <w:r>
        <w:rPr>
          <w:rFonts w:hint="eastAsia" w:ascii="仿宋_GB2312" w:hAnsi="仿宋_GB2312" w:eastAsia="仿宋_GB2312" w:cs="仿宋_GB2312"/>
          <w:b w:val="0"/>
          <w:bCs w:val="0"/>
          <w:kern w:val="2"/>
          <w:sz w:val="32"/>
          <w:szCs w:val="32"/>
          <w:lang w:val="en-US" w:eastAsia="zh-CN" w:bidi="ar-SA"/>
        </w:rPr>
        <w:t>支持开展科学技术研究。</w:t>
      </w:r>
    </w:p>
    <w:p w14:paraId="10B591E3">
      <w:pPr>
        <w:keepNext w:val="0"/>
        <w:keepLines w:val="0"/>
        <w:pageBreakBefore w:val="0"/>
        <w:widowControl w:val="0"/>
        <w:numPr>
          <w:ilvl w:val="0"/>
          <w:numId w:val="0"/>
        </w:numPr>
        <w:spacing w:line="560" w:lineRule="exact"/>
        <w:ind w:firstLine="640" w:firstLineChars="200"/>
        <w:jc w:val="both"/>
        <w:rPr>
          <w:rFonts w:hint="default" w:ascii="仿宋_GB2312" w:hAnsi="仿宋_GB2312" w:eastAsia="仿宋_GB2312" w:cs="仿宋_GB2312"/>
          <w:b w:val="0"/>
          <w:bCs w:val="0"/>
          <w:kern w:val="2"/>
          <w:sz w:val="32"/>
          <w:szCs w:val="24"/>
          <w:lang w:val="en-US" w:eastAsia="zh-CN" w:bidi="ar-SA"/>
        </w:rPr>
      </w:pPr>
      <w:r>
        <w:rPr>
          <w:rFonts w:hint="eastAsia" w:ascii="黑体" w:hAnsi="黑体" w:eastAsia="黑体" w:cs="黑体"/>
          <w:b w:val="0"/>
          <w:bCs w:val="0"/>
          <w:kern w:val="2"/>
          <w:sz w:val="32"/>
          <w:szCs w:val="32"/>
          <w:lang w:val="en-US" w:eastAsia="zh-CN" w:bidi="ar-SA"/>
        </w:rPr>
        <w:t>第十四条</w:t>
      </w:r>
      <w:r>
        <w:rPr>
          <w:rFonts w:hint="eastAsia" w:ascii="仿宋_GB2312" w:hAnsi="仿宋_GB2312" w:eastAsia="仿宋_GB2312" w:cs="仿宋_GB2312"/>
          <w:b w:val="0"/>
          <w:bCs w:val="0"/>
          <w:kern w:val="2"/>
          <w:sz w:val="32"/>
          <w:szCs w:val="32"/>
          <w:lang w:val="en-US" w:eastAsia="zh-CN" w:bidi="ar-SA"/>
        </w:rPr>
        <w:t xml:space="preserve"> 【志愿服务】鼓励和支持志愿者、志愿服务组织和其他组织依法开展相关保护与利用志愿服务活动。</w:t>
      </w:r>
    </w:p>
    <w:p w14:paraId="3B3E0A24">
      <w:pPr>
        <w:keepNext w:val="0"/>
        <w:keepLines w:val="0"/>
        <w:pageBreakBefore w:val="0"/>
        <w:widowControl w:val="0"/>
        <w:numPr>
          <w:ilvl w:val="0"/>
          <w:numId w:val="0"/>
        </w:numPr>
        <w:spacing w:line="560" w:lineRule="exact"/>
        <w:ind w:firstLine="640" w:firstLineChars="200"/>
        <w:jc w:val="both"/>
        <w:rPr>
          <w:rFonts w:hint="eastAsia" w:ascii="仿宋_GB2312" w:hAnsi="仿宋_GB2312" w:eastAsia="仿宋_GB2312" w:cs="仿宋_GB2312"/>
          <w:b w:val="0"/>
          <w:bCs w:val="0"/>
          <w:kern w:val="2"/>
          <w:sz w:val="32"/>
          <w:szCs w:val="24"/>
          <w:lang w:val="en-US" w:eastAsia="zh-CN" w:bidi="ar-SA"/>
        </w:rPr>
      </w:pPr>
      <w:r>
        <w:rPr>
          <w:rFonts w:hint="eastAsia" w:ascii="黑体" w:hAnsi="黑体" w:eastAsia="黑体" w:cs="黑体"/>
          <w:b w:val="0"/>
          <w:bCs w:val="0"/>
          <w:kern w:val="2"/>
          <w:sz w:val="32"/>
          <w:szCs w:val="32"/>
          <w:lang w:val="en-US" w:eastAsia="zh-CN" w:bidi="ar-SA"/>
        </w:rPr>
        <w:t>第十五条</w:t>
      </w:r>
      <w:r>
        <w:rPr>
          <w:rFonts w:hint="eastAsia" w:ascii="仿宋_GB2312" w:hAnsi="仿宋_GB2312" w:eastAsia="仿宋_GB2312" w:cs="仿宋_GB2312"/>
          <w:b w:val="0"/>
          <w:bCs w:val="0"/>
          <w:kern w:val="2"/>
          <w:sz w:val="32"/>
          <w:szCs w:val="32"/>
          <w:lang w:val="en-US" w:eastAsia="zh-CN" w:bidi="ar-SA"/>
        </w:rPr>
        <w:t xml:space="preserve"> </w:t>
      </w:r>
      <w:r>
        <w:rPr>
          <w:rFonts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完善服务设施</w:t>
      </w:r>
      <w:r>
        <w:rPr>
          <w:rFonts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24"/>
          <w:lang w:val="en-US" w:eastAsia="zh-CN" w:bidi="ar-SA"/>
        </w:rPr>
        <w:t>市城管和综合执法部门应当会同有关部门，按照</w:t>
      </w:r>
      <w:r>
        <w:rPr>
          <w:rFonts w:ascii="仿宋_GB2312" w:hAnsi="仿宋_GB2312" w:eastAsia="仿宋_GB2312" w:cs="仿宋_GB2312"/>
          <w:b w:val="0"/>
          <w:bCs w:val="0"/>
          <w:kern w:val="2"/>
          <w:sz w:val="32"/>
          <w:szCs w:val="32"/>
          <w:lang w:val="en-US" w:eastAsia="zh-CN" w:bidi="ar-SA"/>
        </w:rPr>
        <w:t>生态优先、生态资源和人文资源可持续利用的原则</w:t>
      </w:r>
      <w:r>
        <w:rPr>
          <w:rFonts w:hint="eastAsia" w:ascii="仿宋_GB2312" w:hAnsi="仿宋_GB2312" w:eastAsia="仿宋_GB2312" w:cs="仿宋_GB2312"/>
          <w:b w:val="0"/>
          <w:bCs w:val="0"/>
          <w:kern w:val="2"/>
          <w:sz w:val="32"/>
          <w:szCs w:val="32"/>
          <w:lang w:val="en-US" w:eastAsia="zh-CN" w:bidi="ar-SA"/>
        </w:rPr>
        <w:t>，</w:t>
      </w:r>
      <w:r>
        <w:rPr>
          <w:rFonts w:ascii="仿宋_GB2312" w:hAnsi="仿宋_GB2312" w:eastAsia="仿宋_GB2312" w:cs="仿宋_GB2312"/>
          <w:b w:val="0"/>
          <w:bCs w:val="0"/>
          <w:kern w:val="2"/>
          <w:sz w:val="32"/>
          <w:szCs w:val="24"/>
          <w:lang w:val="en-US" w:eastAsia="zh-CN" w:bidi="ar-SA"/>
        </w:rPr>
        <w:t>完善远足径体系，</w:t>
      </w:r>
      <w:r>
        <w:rPr>
          <w:rFonts w:hint="eastAsia" w:ascii="仿宋_GB2312" w:hAnsi="仿宋_GB2312" w:eastAsia="仿宋_GB2312" w:cs="仿宋_GB2312"/>
          <w:b w:val="0"/>
          <w:bCs w:val="0"/>
          <w:kern w:val="2"/>
          <w:sz w:val="32"/>
          <w:szCs w:val="24"/>
          <w:lang w:val="en-US" w:eastAsia="zh-CN" w:bidi="ar-SA"/>
        </w:rPr>
        <w:t>合理规划路线</w:t>
      </w:r>
      <w:r>
        <w:rPr>
          <w:rFonts w:ascii="仿宋_GB2312" w:hAnsi="仿宋_GB2312" w:eastAsia="仿宋_GB2312" w:cs="仿宋_GB2312"/>
          <w:b w:val="0"/>
          <w:bCs w:val="0"/>
          <w:kern w:val="2"/>
          <w:sz w:val="32"/>
          <w:szCs w:val="24"/>
          <w:lang w:val="en-US" w:eastAsia="zh-CN" w:bidi="ar-SA"/>
        </w:rPr>
        <w:t>和活动区域</w:t>
      </w:r>
      <w:r>
        <w:rPr>
          <w:rFonts w:hint="eastAsia" w:ascii="仿宋_GB2312" w:hAnsi="仿宋_GB2312" w:eastAsia="仿宋_GB2312" w:cs="仿宋_GB2312"/>
          <w:b w:val="0"/>
          <w:bCs w:val="0"/>
          <w:kern w:val="2"/>
          <w:sz w:val="32"/>
          <w:szCs w:val="24"/>
          <w:lang w:val="en-US" w:eastAsia="zh-CN" w:bidi="ar-SA"/>
        </w:rPr>
        <w:t>，优化标识系统、智慧导览</w:t>
      </w:r>
      <w:r>
        <w:rPr>
          <w:rFonts w:ascii="仿宋_GB2312" w:hAnsi="仿宋_GB2312" w:eastAsia="仿宋_GB2312" w:cs="仿宋_GB2312"/>
          <w:b w:val="0"/>
          <w:bCs w:val="0"/>
          <w:kern w:val="2"/>
          <w:sz w:val="32"/>
          <w:szCs w:val="24"/>
          <w:lang w:val="en-US" w:eastAsia="zh-CN" w:bidi="ar-SA"/>
        </w:rPr>
        <w:t>、</w:t>
      </w:r>
      <w:r>
        <w:rPr>
          <w:rFonts w:hint="eastAsia" w:ascii="仿宋_GB2312" w:hAnsi="仿宋_GB2312" w:eastAsia="仿宋_GB2312" w:cs="仿宋_GB2312"/>
          <w:b w:val="0"/>
          <w:bCs w:val="0"/>
          <w:kern w:val="2"/>
          <w:sz w:val="32"/>
          <w:szCs w:val="24"/>
          <w:lang w:val="en-US" w:eastAsia="zh-CN" w:bidi="ar-SA"/>
        </w:rPr>
        <w:t>应急救援</w:t>
      </w:r>
      <w:r>
        <w:rPr>
          <w:rFonts w:ascii="仿宋_GB2312" w:hAnsi="仿宋_GB2312" w:eastAsia="仿宋_GB2312" w:cs="仿宋_GB2312"/>
          <w:b w:val="0"/>
          <w:bCs w:val="0"/>
          <w:kern w:val="2"/>
          <w:sz w:val="32"/>
          <w:szCs w:val="24"/>
          <w:lang w:val="en-US" w:eastAsia="zh-CN" w:bidi="ar-SA"/>
        </w:rPr>
        <w:t>等</w:t>
      </w:r>
      <w:r>
        <w:rPr>
          <w:rFonts w:hint="eastAsia" w:ascii="仿宋_GB2312" w:hAnsi="仿宋_GB2312" w:eastAsia="仿宋_GB2312" w:cs="仿宋_GB2312"/>
          <w:b w:val="0"/>
          <w:bCs w:val="0"/>
          <w:kern w:val="2"/>
          <w:sz w:val="32"/>
          <w:szCs w:val="24"/>
          <w:lang w:val="en-US" w:eastAsia="zh-CN" w:bidi="ar-SA"/>
        </w:rPr>
        <w:t>配套服务设施</w:t>
      </w:r>
      <w:r>
        <w:rPr>
          <w:rFonts w:hint="eastAsia" w:ascii="仿宋_GB2312" w:hAnsi="仿宋_GB2312" w:eastAsia="仿宋_GB2312" w:cs="仿宋_GB2312"/>
          <w:b w:val="0"/>
          <w:bCs w:val="0"/>
          <w:kern w:val="2"/>
          <w:sz w:val="32"/>
          <w:szCs w:val="32"/>
          <w:lang w:val="en-US" w:eastAsia="zh-CN" w:bidi="ar-SA"/>
        </w:rPr>
        <w:t>，</w:t>
      </w:r>
      <w:r>
        <w:rPr>
          <w:rFonts w:ascii="仿宋_GB2312" w:hAnsi="仿宋_GB2312" w:eastAsia="仿宋_GB2312" w:cs="仿宋_GB2312"/>
          <w:b w:val="0"/>
          <w:bCs w:val="0"/>
          <w:kern w:val="2"/>
          <w:sz w:val="32"/>
          <w:szCs w:val="24"/>
          <w:lang w:val="en-US" w:eastAsia="zh-CN" w:bidi="ar-SA"/>
        </w:rPr>
        <w:t>提升游览体验。</w:t>
      </w:r>
    </w:p>
    <w:p w14:paraId="605D983A">
      <w:pPr>
        <w:keepNext w:val="0"/>
        <w:keepLines w:val="0"/>
        <w:pageBreakBefore w:val="0"/>
        <w:widowControl w:val="0"/>
        <w:numPr>
          <w:ilvl w:val="0"/>
          <w:numId w:val="0"/>
        </w:numPr>
        <w:spacing w:line="560" w:lineRule="exact"/>
        <w:ind w:left="0" w:leftChars="0" w:firstLine="640" w:firstLineChars="200"/>
        <w:jc w:val="both"/>
        <w:rPr>
          <w:rFonts w:hint="eastAsia" w:ascii="仿宋_GB2312" w:hAnsi="仿宋_GB2312" w:eastAsia="仿宋_GB2312" w:cs="仿宋_GB2312"/>
          <w:b w:val="0"/>
          <w:bCs w:val="0"/>
          <w:kern w:val="2"/>
          <w:sz w:val="32"/>
          <w:szCs w:val="24"/>
          <w:lang w:val="en-US" w:eastAsia="zh-CN" w:bidi="ar-SA"/>
        </w:rPr>
      </w:pPr>
      <w:r>
        <w:rPr>
          <w:rFonts w:ascii="仿宋_GB2312" w:hAnsi="仿宋_GB2312" w:eastAsia="仿宋_GB2312" w:cs="仿宋_GB2312"/>
          <w:b w:val="0"/>
          <w:bCs w:val="0"/>
          <w:kern w:val="2"/>
          <w:sz w:val="32"/>
          <w:szCs w:val="24"/>
          <w:lang w:val="en-US" w:eastAsia="zh-CN" w:bidi="ar-SA"/>
        </w:rPr>
        <w:t>市城管和综合执法</w:t>
      </w:r>
      <w:r>
        <w:rPr>
          <w:rFonts w:hint="eastAsia" w:ascii="仿宋_GB2312" w:hAnsi="仿宋_GB2312" w:eastAsia="仿宋_GB2312" w:cs="仿宋_GB2312"/>
          <w:b w:val="0"/>
          <w:bCs w:val="0"/>
          <w:kern w:val="2"/>
          <w:sz w:val="32"/>
          <w:szCs w:val="24"/>
          <w:lang w:val="en-US" w:eastAsia="zh-CN" w:bidi="ar-SA"/>
        </w:rPr>
        <w:t>部门</w:t>
      </w:r>
      <w:r>
        <w:rPr>
          <w:rFonts w:ascii="仿宋_GB2312" w:hAnsi="仿宋_GB2312" w:eastAsia="仿宋_GB2312" w:cs="仿宋_GB2312"/>
          <w:b w:val="0"/>
          <w:bCs w:val="0"/>
          <w:kern w:val="2"/>
          <w:sz w:val="32"/>
          <w:szCs w:val="24"/>
          <w:lang w:val="en-US" w:eastAsia="zh-CN" w:bidi="ar-SA"/>
        </w:rPr>
        <w:t>可以会同</w:t>
      </w:r>
      <w:r>
        <w:rPr>
          <w:rFonts w:hint="eastAsia" w:ascii="仿宋_GB2312" w:hAnsi="仿宋_GB2312" w:eastAsia="仿宋_GB2312" w:cs="仿宋_GB2312"/>
          <w:b w:val="0"/>
          <w:bCs w:val="0"/>
          <w:kern w:val="2"/>
          <w:sz w:val="32"/>
          <w:szCs w:val="24"/>
          <w:lang w:val="en-US" w:eastAsia="zh-CN" w:bidi="ar-SA"/>
        </w:rPr>
        <w:t>市</w:t>
      </w:r>
      <w:r>
        <w:rPr>
          <w:rFonts w:ascii="仿宋_GB2312" w:hAnsi="仿宋_GB2312" w:eastAsia="仿宋_GB2312" w:cs="仿宋_GB2312"/>
          <w:b w:val="0"/>
          <w:bCs w:val="0"/>
          <w:kern w:val="2"/>
          <w:sz w:val="32"/>
          <w:szCs w:val="24"/>
          <w:lang w:val="en-US" w:eastAsia="zh-CN" w:bidi="ar-SA"/>
        </w:rPr>
        <w:t>规划和自然资源、文化广电旅游体育等部门，与企业事业单位、社会组织等联合营造多元生态保护与利用场景和业态</w:t>
      </w:r>
      <w:r>
        <w:rPr>
          <w:rFonts w:hint="eastAsia" w:ascii="仿宋_GB2312" w:hAnsi="仿宋_GB2312" w:eastAsia="仿宋_GB2312" w:cs="仿宋_GB2312"/>
          <w:b w:val="0"/>
          <w:bCs w:val="0"/>
          <w:kern w:val="2"/>
          <w:sz w:val="32"/>
          <w:szCs w:val="24"/>
          <w:lang w:val="en-US" w:eastAsia="zh-CN" w:bidi="ar-SA"/>
        </w:rPr>
        <w:t>，探索具有塘朗山、梅林山、银湖山特色的生态产品价值实现机制</w:t>
      </w:r>
      <w:r>
        <w:rPr>
          <w:rFonts w:ascii="仿宋_GB2312" w:hAnsi="仿宋_GB2312" w:eastAsia="仿宋_GB2312" w:cs="仿宋_GB2312"/>
          <w:b w:val="0"/>
          <w:bCs w:val="0"/>
          <w:kern w:val="2"/>
          <w:sz w:val="32"/>
          <w:szCs w:val="24"/>
          <w:lang w:val="en-US" w:eastAsia="zh-CN" w:bidi="ar-SA"/>
        </w:rPr>
        <w:t>。</w:t>
      </w:r>
    </w:p>
    <w:p w14:paraId="4FB6F0E6">
      <w:pPr>
        <w:keepNext w:val="0"/>
        <w:keepLines w:val="0"/>
        <w:pageBreakBefore w:val="0"/>
        <w:widowControl w:val="0"/>
        <w:numPr>
          <w:ilvl w:val="0"/>
          <w:numId w:val="0"/>
        </w:numPr>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第十六条</w:t>
      </w:r>
      <w:r>
        <w:rPr>
          <w:rFonts w:hint="eastAsia" w:ascii="仿宋_GB2312" w:hAnsi="仿宋_GB2312" w:eastAsia="仿宋_GB2312" w:cs="仿宋_GB2312"/>
          <w:b w:val="0"/>
          <w:bCs w:val="0"/>
          <w:kern w:val="2"/>
          <w:sz w:val="32"/>
          <w:szCs w:val="32"/>
          <w:lang w:val="en-US" w:eastAsia="zh-CN" w:bidi="ar-SA"/>
        </w:rPr>
        <w:t xml:space="preserve"> 【活动</w:t>
      </w:r>
      <w:r>
        <w:rPr>
          <w:rFonts w:ascii="仿宋_GB2312" w:hAnsi="仿宋_GB2312" w:eastAsia="仿宋_GB2312" w:cs="仿宋_GB2312"/>
          <w:b w:val="0"/>
          <w:bCs w:val="0"/>
          <w:kern w:val="2"/>
          <w:sz w:val="32"/>
          <w:szCs w:val="32"/>
          <w:lang w:val="en-US" w:eastAsia="zh-CN" w:bidi="ar-SA"/>
        </w:rPr>
        <w:t>管理</w:t>
      </w:r>
      <w:r>
        <w:rPr>
          <w:rFonts w:hint="eastAsia" w:ascii="仿宋_GB2312" w:hAnsi="仿宋_GB2312" w:eastAsia="仿宋_GB2312" w:cs="仿宋_GB2312"/>
          <w:b w:val="0"/>
          <w:bCs w:val="0"/>
          <w:kern w:val="2"/>
          <w:sz w:val="32"/>
          <w:szCs w:val="32"/>
          <w:lang w:val="en-US" w:eastAsia="zh-CN" w:bidi="ar-SA"/>
        </w:rPr>
        <w:t>】在保护范围内从事下列活动，应当按照规定报相关部门批准，相关部门在审批前应当征</w:t>
      </w:r>
      <w:r>
        <w:rPr>
          <w:rFonts w:ascii="仿宋_GB2312" w:hAnsi="仿宋_GB2312" w:eastAsia="仿宋_GB2312" w:cs="仿宋_GB2312"/>
          <w:b w:val="0"/>
          <w:bCs w:val="0"/>
          <w:kern w:val="2"/>
          <w:sz w:val="32"/>
          <w:szCs w:val="32"/>
          <w:lang w:val="en-US" w:eastAsia="zh-CN" w:bidi="ar-SA"/>
        </w:rPr>
        <w:t>求</w:t>
      </w:r>
      <w:r>
        <w:rPr>
          <w:rFonts w:hint="eastAsia" w:ascii="仿宋_GB2312" w:hAnsi="仿宋_GB2312" w:eastAsia="仿宋_GB2312" w:cs="仿宋_GB2312"/>
          <w:b w:val="0"/>
          <w:bCs w:val="0"/>
          <w:kern w:val="2"/>
          <w:sz w:val="32"/>
          <w:szCs w:val="32"/>
          <w:lang w:val="en-US" w:eastAsia="zh-CN" w:bidi="ar-SA"/>
        </w:rPr>
        <w:t>活动举办</w:t>
      </w:r>
      <w:r>
        <w:rPr>
          <w:rFonts w:ascii="仿宋_GB2312" w:hAnsi="仿宋_GB2312" w:eastAsia="仿宋_GB2312" w:cs="仿宋_GB2312"/>
          <w:b w:val="0"/>
          <w:bCs w:val="0"/>
          <w:kern w:val="2"/>
          <w:sz w:val="32"/>
          <w:szCs w:val="32"/>
          <w:lang w:val="en-US" w:eastAsia="zh-CN" w:bidi="ar-SA"/>
        </w:rPr>
        <w:t>地管理单位意见</w:t>
      </w:r>
      <w:r>
        <w:rPr>
          <w:rFonts w:hint="eastAsia" w:ascii="仿宋_GB2312" w:hAnsi="仿宋_GB2312" w:eastAsia="仿宋_GB2312" w:cs="仿宋_GB2312"/>
          <w:b w:val="0"/>
          <w:bCs w:val="0"/>
          <w:kern w:val="2"/>
          <w:sz w:val="32"/>
          <w:szCs w:val="32"/>
          <w:lang w:val="en-US" w:eastAsia="zh-CN" w:bidi="ar-SA"/>
        </w:rPr>
        <w:t>：</w:t>
      </w:r>
    </w:p>
    <w:p w14:paraId="654F4C99">
      <w:pPr>
        <w:keepNext w:val="0"/>
        <w:keepLines w:val="0"/>
        <w:pageBreakBefore w:val="0"/>
        <w:widowControl w:val="0"/>
        <w:spacing w:line="560" w:lineRule="exact"/>
        <w:ind w:firstLine="640" w:firstLineChars="200"/>
        <w:jc w:val="both"/>
        <w:rPr>
          <w:rFonts w:hint="eastAsia" w:ascii="仿宋_GB2312" w:hAnsi="仿宋_GB2312" w:eastAsia="仿宋_GB2312" w:cs="仿宋_GB2312"/>
          <w:b w:val="0"/>
          <w:bCs w:val="0"/>
          <w:kern w:val="2"/>
          <w:sz w:val="32"/>
          <w:szCs w:val="24"/>
          <w:lang w:val="en-US" w:eastAsia="zh-CN" w:bidi="ar-SA"/>
        </w:rPr>
      </w:pPr>
      <w:r>
        <w:rPr>
          <w:rFonts w:hint="eastAsia" w:ascii="仿宋_GB2312" w:hAnsi="仿宋_GB2312" w:eastAsia="仿宋_GB2312" w:cs="仿宋_GB2312"/>
          <w:b w:val="0"/>
          <w:bCs w:val="0"/>
          <w:kern w:val="2"/>
          <w:sz w:val="32"/>
          <w:szCs w:val="24"/>
          <w:lang w:val="en-US" w:eastAsia="zh-CN" w:bidi="ar-SA"/>
        </w:rPr>
        <w:t>（一）举办大型游乐、集会、赛事活动；</w:t>
      </w:r>
    </w:p>
    <w:p w14:paraId="21EF9722">
      <w:pPr>
        <w:keepNext w:val="0"/>
        <w:keepLines w:val="0"/>
        <w:pageBreakBefore w:val="0"/>
        <w:widowControl w:val="0"/>
        <w:spacing w:line="560" w:lineRule="exact"/>
        <w:ind w:firstLine="640" w:firstLineChars="200"/>
        <w:jc w:val="both"/>
        <w:rPr>
          <w:rFonts w:hint="eastAsia" w:ascii="仿宋_GB2312" w:hAnsi="仿宋_GB2312" w:eastAsia="仿宋_GB2312" w:cs="仿宋_GB2312"/>
          <w:b w:val="0"/>
          <w:bCs w:val="0"/>
          <w:kern w:val="2"/>
          <w:sz w:val="32"/>
          <w:szCs w:val="24"/>
          <w:lang w:val="en-US" w:eastAsia="zh-CN" w:bidi="ar-SA"/>
        </w:rPr>
      </w:pPr>
      <w:r>
        <w:rPr>
          <w:rFonts w:hint="eastAsia" w:ascii="仿宋_GB2312" w:hAnsi="仿宋_GB2312" w:eastAsia="仿宋_GB2312" w:cs="仿宋_GB2312"/>
          <w:b w:val="0"/>
          <w:bCs w:val="0"/>
          <w:kern w:val="2"/>
          <w:sz w:val="32"/>
          <w:szCs w:val="24"/>
          <w:lang w:val="en-US" w:eastAsia="zh-CN" w:bidi="ar-SA"/>
        </w:rPr>
        <w:t>（二）开展商业影视摄制活动；</w:t>
      </w:r>
    </w:p>
    <w:p w14:paraId="395371F0">
      <w:pPr>
        <w:keepNext w:val="0"/>
        <w:keepLines w:val="0"/>
        <w:pageBreakBefore w:val="0"/>
        <w:widowControl w:val="0"/>
        <w:spacing w:line="560" w:lineRule="exact"/>
        <w:ind w:firstLine="640" w:firstLineChars="200"/>
        <w:jc w:val="both"/>
        <w:rPr>
          <w:rFonts w:hint="eastAsia" w:ascii="仿宋_GB2312" w:hAnsi="仿宋_GB2312" w:eastAsia="仿宋_GB2312" w:cs="仿宋_GB2312"/>
          <w:b w:val="0"/>
          <w:bCs w:val="0"/>
          <w:kern w:val="2"/>
          <w:sz w:val="32"/>
          <w:szCs w:val="24"/>
          <w:lang w:val="en-US" w:eastAsia="zh-CN" w:bidi="ar-SA"/>
        </w:rPr>
      </w:pPr>
      <w:r>
        <w:rPr>
          <w:rFonts w:hint="eastAsia" w:ascii="仿宋_GB2312" w:hAnsi="仿宋_GB2312" w:eastAsia="仿宋_GB2312" w:cs="仿宋_GB2312"/>
          <w:b w:val="0"/>
          <w:bCs w:val="0"/>
          <w:kern w:val="2"/>
          <w:sz w:val="32"/>
          <w:szCs w:val="24"/>
          <w:lang w:val="en-US" w:eastAsia="zh-CN" w:bidi="ar-SA"/>
        </w:rPr>
        <w:t>（三）</w:t>
      </w:r>
      <w:r>
        <w:rPr>
          <w:rFonts w:hint="eastAsia" w:ascii="仿宋_GB2312" w:hAnsi="仿宋_GB2312" w:eastAsia="仿宋_GB2312" w:cs="仿宋_GB2312"/>
          <w:b w:val="0"/>
          <w:bCs w:val="0"/>
          <w:kern w:val="2"/>
          <w:sz w:val="32"/>
          <w:szCs w:val="32"/>
          <w:lang w:val="en-US" w:eastAsia="zh-CN" w:bidi="ar-SA"/>
        </w:rPr>
        <w:t>开展科研、考察、采集标本活动</w:t>
      </w:r>
      <w:r>
        <w:rPr>
          <w:rFonts w:hint="eastAsia" w:ascii="仿宋_GB2312" w:hAnsi="仿宋_GB2312" w:eastAsia="仿宋_GB2312" w:cs="仿宋_GB2312"/>
          <w:b w:val="0"/>
          <w:bCs w:val="0"/>
          <w:kern w:val="2"/>
          <w:sz w:val="32"/>
          <w:szCs w:val="24"/>
          <w:lang w:val="en-US" w:eastAsia="zh-CN" w:bidi="ar-SA"/>
        </w:rPr>
        <w:t>；</w:t>
      </w:r>
    </w:p>
    <w:p w14:paraId="08DCA4E3">
      <w:pPr>
        <w:keepNext w:val="0"/>
        <w:keepLines w:val="0"/>
        <w:pageBreakBefore w:val="0"/>
        <w:widowControl w:val="0"/>
        <w:numPr>
          <w:ilvl w:val="0"/>
          <w:numId w:val="0"/>
        </w:numPr>
        <w:spacing w:line="560" w:lineRule="exact"/>
        <w:ind w:firstLine="640" w:firstLineChars="200"/>
        <w:jc w:val="both"/>
        <w:rPr>
          <w:rFonts w:hint="eastAsia" w:ascii="仿宋_GB2312" w:hAnsi="仿宋_GB2312" w:eastAsia="仿宋_GB2312" w:cs="仿宋_GB2312"/>
          <w:b w:val="0"/>
          <w:bCs w:val="0"/>
          <w:kern w:val="2"/>
          <w:sz w:val="32"/>
          <w:szCs w:val="24"/>
          <w:lang w:val="en-US" w:eastAsia="zh-CN" w:bidi="ar-SA"/>
        </w:rPr>
      </w:pPr>
      <w:r>
        <w:rPr>
          <w:rFonts w:hint="eastAsia" w:ascii="仿宋_GB2312" w:hAnsi="仿宋_GB2312" w:eastAsia="仿宋_GB2312" w:cs="仿宋_GB2312"/>
          <w:b w:val="0"/>
          <w:bCs w:val="0"/>
          <w:kern w:val="2"/>
          <w:sz w:val="32"/>
          <w:szCs w:val="24"/>
          <w:lang w:val="en-US" w:eastAsia="zh-CN" w:bidi="ar-SA"/>
        </w:rPr>
        <w:t>（四）其他可能影响生态、景观以及公共安全的活动。</w:t>
      </w:r>
    </w:p>
    <w:p w14:paraId="42841366">
      <w:pPr>
        <w:keepNext w:val="0"/>
        <w:keepLines w:val="0"/>
        <w:pageBreakBefore w:val="0"/>
        <w:widowControl w:val="0"/>
        <w:numPr>
          <w:ilvl w:val="0"/>
          <w:numId w:val="0"/>
        </w:numPr>
        <w:spacing w:line="560" w:lineRule="exact"/>
        <w:ind w:firstLine="640" w:firstLineChars="200"/>
        <w:jc w:val="both"/>
        <w:rPr>
          <w:rFonts w:hint="eastAsia" w:ascii="仿宋_GB2312" w:hAnsi="仿宋_GB2312" w:eastAsia="仿宋_GB2312" w:cs="仿宋_GB2312"/>
          <w:b w:val="0"/>
          <w:bCs w:val="0"/>
          <w:kern w:val="2"/>
          <w:sz w:val="32"/>
          <w:szCs w:val="24"/>
          <w:lang w:val="en-US" w:eastAsia="zh-CN" w:bidi="ar-SA"/>
        </w:rPr>
      </w:pPr>
      <w:r>
        <w:rPr>
          <w:rFonts w:hint="eastAsia" w:ascii="仿宋_GB2312" w:hAnsi="仿宋_GB2312" w:eastAsia="仿宋_GB2312" w:cs="仿宋_GB2312"/>
          <w:b w:val="0"/>
          <w:bCs w:val="0"/>
          <w:kern w:val="2"/>
          <w:sz w:val="32"/>
          <w:szCs w:val="24"/>
          <w:lang w:val="en-US" w:eastAsia="zh-CN" w:bidi="ar-SA"/>
        </w:rPr>
        <w:t>实施前款所列活动应当遵守场地管理要求；需要搭建临时设施的，</w:t>
      </w:r>
      <w:r>
        <w:rPr>
          <w:rFonts w:hint="default" w:ascii="仿宋_GB2312" w:hAnsi="仿宋_GB2312" w:eastAsia="仿宋_GB2312" w:cs="仿宋_GB2312"/>
          <w:b w:val="0"/>
          <w:bCs w:val="0"/>
          <w:kern w:val="2"/>
          <w:sz w:val="32"/>
          <w:szCs w:val="24"/>
          <w:lang w:val="en-US" w:eastAsia="zh-CN" w:bidi="ar-SA"/>
        </w:rPr>
        <w:t>应当</w:t>
      </w:r>
      <w:r>
        <w:rPr>
          <w:rFonts w:hint="eastAsia" w:ascii="仿宋_GB2312" w:hAnsi="仿宋_GB2312" w:eastAsia="仿宋_GB2312" w:cs="仿宋_GB2312"/>
          <w:b w:val="0"/>
          <w:bCs w:val="0"/>
          <w:kern w:val="2"/>
          <w:sz w:val="32"/>
          <w:szCs w:val="24"/>
          <w:lang w:val="en-US" w:eastAsia="zh-CN" w:bidi="ar-SA"/>
        </w:rPr>
        <w:t>遵守相关规定；活动结束后活动组织者</w:t>
      </w:r>
      <w:r>
        <w:rPr>
          <w:rFonts w:ascii="仿宋_GB2312" w:hAnsi="仿宋_GB2312" w:eastAsia="仿宋_GB2312" w:cs="仿宋_GB2312"/>
          <w:b w:val="0"/>
          <w:bCs w:val="0"/>
          <w:kern w:val="2"/>
          <w:sz w:val="32"/>
          <w:szCs w:val="24"/>
          <w:lang w:val="en-US" w:eastAsia="zh-CN" w:bidi="ar-SA"/>
        </w:rPr>
        <w:t>应当及时</w:t>
      </w:r>
      <w:r>
        <w:rPr>
          <w:rFonts w:hint="eastAsia" w:ascii="仿宋_GB2312" w:hAnsi="仿宋_GB2312" w:eastAsia="仿宋_GB2312" w:cs="仿宋_GB2312"/>
          <w:b w:val="0"/>
          <w:bCs w:val="0"/>
          <w:kern w:val="2"/>
          <w:sz w:val="32"/>
          <w:szCs w:val="24"/>
          <w:lang w:val="en-US" w:eastAsia="zh-CN" w:bidi="ar-SA"/>
        </w:rPr>
        <w:t>拆除设施、清理场地、恢复原状。</w:t>
      </w:r>
    </w:p>
    <w:p w14:paraId="7FEEB5B6">
      <w:pPr>
        <w:keepNext w:val="0"/>
        <w:keepLines w:val="0"/>
        <w:pageBreakBefore w:val="0"/>
        <w:widowControl w:val="0"/>
        <w:numPr>
          <w:ilvl w:val="0"/>
          <w:numId w:val="0"/>
        </w:numPr>
        <w:spacing w:line="560" w:lineRule="exact"/>
        <w:ind w:firstLine="640" w:firstLineChars="200"/>
        <w:jc w:val="both"/>
        <w:rPr>
          <w:rFonts w:hint="default" w:ascii="仿宋_GB2312" w:hAnsi="仿宋_GB2312" w:eastAsia="仿宋_GB2312" w:cs="仿宋_GB2312"/>
          <w:b w:val="0"/>
          <w:bCs w:val="0"/>
          <w:kern w:val="2"/>
          <w:sz w:val="32"/>
          <w:szCs w:val="24"/>
          <w:lang w:val="en-US" w:eastAsia="zh-CN" w:bidi="ar-SA"/>
        </w:rPr>
      </w:pPr>
      <w:r>
        <w:rPr>
          <w:rFonts w:hint="eastAsia" w:ascii="仿宋_GB2312" w:hAnsi="仿宋_GB2312" w:eastAsia="仿宋_GB2312" w:cs="仿宋_GB2312"/>
          <w:b w:val="0"/>
          <w:bCs w:val="0"/>
          <w:kern w:val="2"/>
          <w:sz w:val="32"/>
          <w:szCs w:val="24"/>
          <w:lang w:val="en-US" w:eastAsia="zh-CN" w:bidi="ar-SA"/>
        </w:rPr>
        <w:t>活动组织者应当按照有关规定向市政公共资源管理单位支付费用，根据有关规定无偿使用的除外。</w:t>
      </w:r>
    </w:p>
    <w:p w14:paraId="2B71A05B">
      <w:pPr>
        <w:keepNext w:val="0"/>
        <w:keepLines w:val="0"/>
        <w:pageBreakBefore w:val="0"/>
        <w:widowControl w:val="0"/>
        <w:numPr>
          <w:ilvl w:val="0"/>
          <w:numId w:val="0"/>
        </w:numPr>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第十七条</w:t>
      </w:r>
      <w:r>
        <w:rPr>
          <w:rFonts w:hint="eastAsia" w:ascii="仿宋_GB2312" w:hAnsi="仿宋_GB2312" w:eastAsia="仿宋_GB2312" w:cs="仿宋_GB2312"/>
          <w:b w:val="0"/>
          <w:bCs w:val="0"/>
          <w:kern w:val="2"/>
          <w:sz w:val="32"/>
          <w:szCs w:val="32"/>
          <w:lang w:val="en-US" w:eastAsia="zh-CN" w:bidi="ar-SA"/>
        </w:rPr>
        <w:t xml:space="preserve"> 【应急救援】公众在保护范围内</w:t>
      </w:r>
      <w:r>
        <w:rPr>
          <w:rFonts w:ascii="仿宋_GB2312" w:hAnsi="仿宋_GB2312" w:eastAsia="仿宋_GB2312" w:cs="仿宋_GB2312"/>
          <w:b w:val="0"/>
          <w:bCs w:val="0"/>
          <w:kern w:val="2"/>
          <w:sz w:val="32"/>
          <w:szCs w:val="32"/>
          <w:lang w:val="en-US" w:eastAsia="zh-CN" w:bidi="ar-SA"/>
        </w:rPr>
        <w:t>遇到</w:t>
      </w:r>
      <w:r>
        <w:rPr>
          <w:rFonts w:hint="eastAsia" w:ascii="仿宋_GB2312" w:hAnsi="仿宋_GB2312" w:eastAsia="仿宋_GB2312" w:cs="仿宋_GB2312"/>
          <w:b w:val="0"/>
          <w:bCs w:val="0"/>
          <w:kern w:val="2"/>
          <w:sz w:val="32"/>
          <w:szCs w:val="32"/>
          <w:lang w:val="en-US" w:eastAsia="zh-CN" w:bidi="ar-SA"/>
        </w:rPr>
        <w:t>危险或者其他情形请求救援时</w:t>
      </w:r>
      <w:r>
        <w:rPr>
          <w:rFonts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遇险地</w:t>
      </w:r>
      <w:r>
        <w:rPr>
          <w:rFonts w:ascii="仿宋_GB2312" w:hAnsi="仿宋_GB2312" w:eastAsia="仿宋_GB2312" w:cs="仿宋_GB2312"/>
          <w:b w:val="0"/>
          <w:bCs w:val="0"/>
          <w:kern w:val="2"/>
          <w:sz w:val="32"/>
          <w:szCs w:val="32"/>
          <w:lang w:val="en-US" w:eastAsia="zh-CN" w:bidi="ar-SA"/>
        </w:rPr>
        <w:t>管理单位以及公安、</w:t>
      </w:r>
      <w:r>
        <w:rPr>
          <w:rFonts w:hint="eastAsia" w:ascii="仿宋_GB2312" w:hAnsi="仿宋_GB2312" w:eastAsia="仿宋_GB2312" w:cs="仿宋_GB2312"/>
          <w:b w:val="0"/>
          <w:bCs w:val="0"/>
          <w:kern w:val="2"/>
          <w:sz w:val="32"/>
          <w:szCs w:val="32"/>
          <w:lang w:val="en-US" w:eastAsia="zh-CN" w:bidi="ar-SA"/>
        </w:rPr>
        <w:t>消防救援、应急、医疗</w:t>
      </w:r>
      <w:r>
        <w:rPr>
          <w:rFonts w:ascii="仿宋_GB2312" w:hAnsi="仿宋_GB2312" w:eastAsia="仿宋_GB2312" w:cs="仿宋_GB2312"/>
          <w:b w:val="0"/>
          <w:bCs w:val="0"/>
          <w:kern w:val="2"/>
          <w:sz w:val="32"/>
          <w:szCs w:val="32"/>
          <w:lang w:val="en-US" w:eastAsia="zh-CN" w:bidi="ar-SA"/>
        </w:rPr>
        <w:t>等有关部门和机构应当按照职责分工采取救助和处置措施。</w:t>
      </w:r>
    </w:p>
    <w:p w14:paraId="23E83017">
      <w:pPr>
        <w:keepNext w:val="0"/>
        <w:keepLines w:val="0"/>
        <w:pageBreakBefore w:val="0"/>
        <w:widowControl w:val="0"/>
        <w:numPr>
          <w:ilvl w:val="0"/>
          <w:numId w:val="0"/>
        </w:numPr>
        <w:spacing w:line="560" w:lineRule="exact"/>
        <w:ind w:left="0" w:firstLine="640" w:firstLineChars="200"/>
        <w:jc w:val="both"/>
        <w:rPr>
          <w:rFonts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因生态保护、安全风险管控等需要或者法律法规规定禁止进入的区域，管理单位应当在游览示意图以及该区域的主要出入口、边界显著位置设置警示标志。擅自进入导致自身陷入危险状态</w:t>
      </w:r>
      <w:r>
        <w:rPr>
          <w:rFonts w:hint="eastAsia" w:ascii="仿宋_GB2312" w:hAnsi="仿宋_GB2312" w:eastAsia="仿宋_GB2312" w:cs="仿宋_GB2312"/>
          <w:b w:val="0"/>
          <w:bCs w:val="0"/>
          <w:spacing w:val="-11"/>
          <w:kern w:val="2"/>
          <w:sz w:val="32"/>
          <w:szCs w:val="32"/>
          <w:lang w:val="en-US" w:eastAsia="zh-CN" w:bidi="ar-SA"/>
        </w:rPr>
        <w:t>需要</w:t>
      </w:r>
      <w:r>
        <w:rPr>
          <w:rFonts w:ascii="仿宋_GB2312" w:hAnsi="仿宋_GB2312" w:eastAsia="仿宋_GB2312" w:cs="仿宋_GB2312"/>
          <w:b w:val="0"/>
          <w:bCs w:val="0"/>
          <w:spacing w:val="-11"/>
          <w:kern w:val="2"/>
          <w:sz w:val="32"/>
          <w:szCs w:val="32"/>
          <w:lang w:val="en-US" w:eastAsia="zh-CN" w:bidi="ar-SA"/>
        </w:rPr>
        <w:t>救助的</w:t>
      </w:r>
      <w:r>
        <w:rPr>
          <w:rFonts w:hint="eastAsia" w:ascii="仿宋_GB2312" w:hAnsi="仿宋_GB2312" w:eastAsia="仿宋_GB2312" w:cs="仿宋_GB2312"/>
          <w:b w:val="0"/>
          <w:bCs w:val="0"/>
          <w:spacing w:val="-11"/>
          <w:kern w:val="2"/>
          <w:sz w:val="32"/>
          <w:szCs w:val="32"/>
          <w:lang w:val="en-US" w:eastAsia="zh-CN" w:bidi="ar-SA"/>
        </w:rPr>
        <w:t>，相关</w:t>
      </w:r>
      <w:r>
        <w:rPr>
          <w:rFonts w:hint="default" w:ascii="仿宋_GB2312" w:hAnsi="仿宋_GB2312" w:eastAsia="仿宋_GB2312" w:cs="仿宋_GB2312"/>
          <w:b w:val="0"/>
          <w:bCs w:val="0"/>
          <w:spacing w:val="-11"/>
          <w:kern w:val="2"/>
          <w:sz w:val="32"/>
          <w:szCs w:val="32"/>
          <w:lang w:val="en-US" w:eastAsia="zh-CN" w:bidi="ar-SA"/>
        </w:rPr>
        <w:t>责任和</w:t>
      </w:r>
      <w:r>
        <w:rPr>
          <w:rFonts w:hint="eastAsia" w:ascii="仿宋_GB2312" w:hAnsi="仿宋_GB2312" w:eastAsia="仿宋_GB2312" w:cs="仿宋_GB2312"/>
          <w:b w:val="0"/>
          <w:bCs w:val="0"/>
          <w:spacing w:val="-11"/>
          <w:kern w:val="2"/>
          <w:sz w:val="32"/>
          <w:szCs w:val="32"/>
          <w:lang w:val="en-US" w:eastAsia="zh-CN" w:bidi="ar-SA"/>
        </w:rPr>
        <w:t>费用由接受救助的单位和个人</w:t>
      </w:r>
      <w:r>
        <w:rPr>
          <w:rFonts w:hint="default" w:ascii="仿宋_GB2312" w:hAnsi="仿宋_GB2312" w:eastAsia="仿宋_GB2312" w:cs="仿宋_GB2312"/>
          <w:b w:val="0"/>
          <w:bCs w:val="0"/>
          <w:spacing w:val="-11"/>
          <w:kern w:val="2"/>
          <w:sz w:val="32"/>
          <w:szCs w:val="32"/>
          <w:lang w:val="en-US" w:eastAsia="zh-CN" w:bidi="ar-SA"/>
        </w:rPr>
        <w:t>自行</w:t>
      </w:r>
      <w:r>
        <w:rPr>
          <w:rFonts w:hint="eastAsia" w:ascii="仿宋_GB2312" w:hAnsi="仿宋_GB2312" w:eastAsia="仿宋_GB2312" w:cs="仿宋_GB2312"/>
          <w:b w:val="0"/>
          <w:bCs w:val="0"/>
          <w:spacing w:val="-11"/>
          <w:kern w:val="2"/>
          <w:sz w:val="32"/>
          <w:szCs w:val="32"/>
          <w:lang w:val="en-US" w:eastAsia="zh-CN" w:bidi="ar-SA"/>
        </w:rPr>
        <w:t>承担</w:t>
      </w:r>
      <w:r>
        <w:rPr>
          <w:rFonts w:ascii="仿宋_GB2312" w:hAnsi="仿宋_GB2312" w:eastAsia="仿宋_GB2312" w:cs="仿宋_GB2312"/>
          <w:b w:val="0"/>
          <w:bCs w:val="0"/>
          <w:spacing w:val="-11"/>
          <w:kern w:val="2"/>
          <w:sz w:val="32"/>
          <w:szCs w:val="32"/>
          <w:lang w:val="en-US" w:eastAsia="zh-CN" w:bidi="ar-SA"/>
        </w:rPr>
        <w:t>。</w:t>
      </w:r>
    </w:p>
    <w:p w14:paraId="33D57CEF">
      <w:pPr>
        <w:keepNext w:val="0"/>
        <w:keepLines w:val="0"/>
        <w:pageBreakBefore w:val="0"/>
        <w:widowControl w:val="0"/>
        <w:numPr>
          <w:ilvl w:val="0"/>
          <w:numId w:val="0"/>
        </w:numPr>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第十八条</w:t>
      </w:r>
      <w:r>
        <w:rPr>
          <w:rFonts w:hint="eastAsia" w:ascii="仿宋_GB2312" w:hAnsi="仿宋_GB2312" w:eastAsia="仿宋_GB2312" w:cs="仿宋_GB2312"/>
          <w:b w:val="0"/>
          <w:bCs w:val="0"/>
          <w:kern w:val="2"/>
          <w:sz w:val="32"/>
          <w:szCs w:val="32"/>
          <w:lang w:val="en-US" w:eastAsia="zh-CN" w:bidi="ar-SA"/>
        </w:rPr>
        <w:t xml:space="preserve"> 【责任追究】市城管和综合执法、规划和自然资源、生态环境等有关部门，保护范围所在地区人民政府以及各管理单位工作人员在保护与利用过程中滥用职权、玩忽职守、徇私舞弊的，依法给予处分；构成犯罪的，依法追究刑事责任。</w:t>
      </w:r>
    </w:p>
    <w:p w14:paraId="217E59BC">
      <w:pPr>
        <w:keepNext w:val="0"/>
        <w:keepLines w:val="0"/>
        <w:pageBreakBefore w:val="0"/>
        <w:widowControl w:val="0"/>
        <w:numPr>
          <w:ilvl w:val="0"/>
          <w:numId w:val="0"/>
        </w:numPr>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第十九条</w:t>
      </w:r>
      <w:r>
        <w:rPr>
          <w:rFonts w:hint="eastAsia" w:ascii="仿宋_GB2312" w:hAnsi="仿宋_GB2312" w:eastAsia="仿宋_GB2312" w:cs="仿宋_GB2312"/>
          <w:b w:val="0"/>
          <w:bCs w:val="0"/>
          <w:kern w:val="2"/>
          <w:sz w:val="32"/>
          <w:szCs w:val="32"/>
          <w:lang w:val="en-US" w:eastAsia="zh-CN" w:bidi="ar-SA"/>
        </w:rPr>
        <w:t xml:space="preserve"> 【法律责任】保护范围内的管理单位发现违反本规定的行为，应当予以劝阻；拒不接受的，应当报告有关行政主管部门，依照《中华人民共和国野生动物保护法》《中华人民共和国治安管理处罚法》《中华人民共和国生物安全法》《中华人民共和国野生植物保护条例》《大型群众性活动安全管理条例》等有关法律法规处理。</w:t>
      </w:r>
    </w:p>
    <w:p w14:paraId="3E2EDBE0">
      <w:pPr>
        <w:keepNext w:val="0"/>
        <w:keepLines w:val="0"/>
        <w:pageBreakBefore w:val="0"/>
        <w:widowControl w:val="0"/>
        <w:numPr>
          <w:ilvl w:val="0"/>
          <w:numId w:val="0"/>
        </w:numPr>
        <w:spacing w:line="560" w:lineRule="exact"/>
        <w:ind w:firstLine="640" w:firstLineChars="200"/>
        <w:jc w:val="both"/>
        <w:rPr>
          <w:rFonts w:ascii="Calibri" w:hAnsi="Calibri" w:eastAsia="宋体" w:cs="Times New Roman"/>
          <w:b w:val="0"/>
          <w:bCs w:val="0"/>
          <w:kern w:val="2"/>
          <w:sz w:val="21"/>
          <w:szCs w:val="24"/>
          <w:lang w:val="en-US" w:eastAsia="zh-CN" w:bidi="ar-SA"/>
        </w:rPr>
      </w:pPr>
      <w:r>
        <w:rPr>
          <w:rFonts w:hint="eastAsia" w:ascii="黑体" w:hAnsi="黑体" w:eastAsia="黑体" w:cs="黑体"/>
          <w:b w:val="0"/>
          <w:bCs w:val="0"/>
          <w:kern w:val="2"/>
          <w:sz w:val="32"/>
          <w:szCs w:val="32"/>
          <w:lang w:val="en-US" w:eastAsia="zh-CN" w:bidi="ar-SA"/>
        </w:rPr>
        <w:t>第二十条</w:t>
      </w:r>
      <w:r>
        <w:rPr>
          <w:rFonts w:hint="eastAsia" w:ascii="仿宋_GB2312" w:hAnsi="仿宋_GB2312" w:eastAsia="仿宋_GB2312" w:cs="仿宋_GB2312"/>
          <w:b w:val="0"/>
          <w:bCs w:val="0"/>
          <w:kern w:val="2"/>
          <w:sz w:val="32"/>
          <w:szCs w:val="32"/>
          <w:lang w:val="en-US" w:eastAsia="zh-CN" w:bidi="ar-SA"/>
        </w:rPr>
        <w:t xml:space="preserve"> 【施行时间】本规定自  年 月 日起施行。</w:t>
      </w:r>
    </w:p>
    <w:p w14:paraId="63E4AB81">
      <w:pPr>
        <w:keepNext w:val="0"/>
        <w:keepLines w:val="0"/>
        <w:pageBreakBefore w:val="0"/>
        <w:spacing w:line="560" w:lineRule="exact"/>
      </w:pPr>
    </w:p>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1DB7D">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a:noFill/>
                        <a:miter/>
                      </a:ln>
                    </wps:spPr>
                    <wps:style>
                      <a:lnRef idx="0">
                        <a:schemeClr val="accent1"/>
                      </a:lnRef>
                      <a:fillRef idx="0">
                        <a:schemeClr val="accent1"/>
                      </a:fillRef>
                      <a:effectRef idx="0">
                        <a:schemeClr val="accent1"/>
                      </a:effectRef>
                      <a:fontRef idx="minor">
                        <a:schemeClr val="dk1"/>
                      </a:fontRef>
                    </wps:style>
                    <wps:txbx>
                      <w:txbxContent>
                        <w:p w14:paraId="3630EE16">
                          <w:pPr>
                            <w:pStyle w:val="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ct/0tQAAAAFAQAADwAAAAAAAAABACAAAAAiAAAAZHJzL2Rvd25y&#10;ZXYueG1sUEsBAhQAFAAAAAgAh07iQAixQ4I7AgAAbwQAAA4AAAAAAAAAAQAgAAAAIwEAAGRycy9l&#10;Mm9Eb2MueG1sUEsFBgAAAAAGAAYAWQEAANAFAAAAAA==&#10;">
              <v:fill on="f" focussize="0,0"/>
              <v:stroke on="f" weight="0.5pt" joinstyle="miter"/>
              <v:imagedata o:title=""/>
              <o:lock v:ext="edit" aspectratio="f"/>
              <v:textbox inset="0mm,0mm,0mm,0mm" style="mso-fit-shape-to-text:t;">
                <w:txbxContent>
                  <w:p w14:paraId="3630EE16">
                    <w:pPr>
                      <w:pStyle w:val="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4F4E3">
    <w:pPr>
      <w:pStyle w:val="2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visionView w:markup="0"/>
  <w:trackRevisions w:val="1"/>
  <w:documentProtection w:enforcement="0"/>
  <w:defaultTabStop w:val="42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720CC7"/>
    <w:rsid w:val="548C5573"/>
    <w:rsid w:val="77471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qFormat="1" w:uiPriority="39" w:semiHidden="0" w:name="toc 7"/>
    <w:lsdException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both"/>
    </w:pPr>
    <w:rPr>
      <w:rFonts w:hint="default" w:ascii="Calibri" w:hAnsi="Calibri" w:eastAsia="宋体" w:cs="Times New Roman"/>
      <w:color w:val="auto"/>
      <w:spacing w:val="0"/>
      <w:kern w:val="2"/>
      <w:position w:val="0"/>
      <w:sz w:val="21"/>
      <w:szCs w:val="24"/>
      <w:lang w:val="en-US" w:eastAsia="zh-CN" w:bidi="ar-SA"/>
    </w:rPr>
  </w:style>
  <w:style w:type="paragraph" w:styleId="2">
    <w:name w:val="heading 1"/>
    <w:basedOn w:val="3"/>
    <w:next w:val="3"/>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7">
    <w:name w:val="heading 2"/>
    <w:basedOn w:val="8"/>
    <w:next w:val="8"/>
    <w:unhideWhenUsed/>
    <w:qFormat/>
    <w:uiPriority w:val="0"/>
    <w:pPr>
      <w:overflowPunct w:val="0"/>
      <w:snapToGrid w:val="0"/>
      <w:spacing w:line="590" w:lineRule="exact"/>
      <w:jc w:val="center"/>
      <w:outlineLvl w:val="1"/>
    </w:pPr>
    <w:rPr>
      <w:rFonts w:ascii="Times New Roman" w:hAnsi="Times New Roman" w:eastAsia="宋体" w:cs="方正小标宋_GBK"/>
      <w:color w:val="000000"/>
      <w:sz w:val="44"/>
      <w:szCs w:val="44"/>
    </w:rPr>
  </w:style>
  <w:style w:type="paragraph" w:styleId="9">
    <w:name w:val="heading 3"/>
    <w:basedOn w:val="1"/>
    <w:next w:val="1"/>
    <w:qFormat/>
    <w:uiPriority w:val="0"/>
    <w:pPr>
      <w:spacing w:line="572" w:lineRule="exact"/>
      <w:jc w:val="center"/>
      <w:outlineLvl w:val="2"/>
    </w:pPr>
    <w:rPr>
      <w:rFonts w:hint="eastAsia" w:ascii="宋体" w:hAnsi="宋体" w:eastAsia="方正小标宋简体" w:cs="宋体"/>
      <w:kern w:val="0"/>
      <w:sz w:val="44"/>
      <w:szCs w:val="27"/>
    </w:rPr>
  </w:style>
  <w:style w:type="paragraph" w:styleId="10">
    <w:name w:val="heading 4"/>
    <w:basedOn w:val="1"/>
    <w:next w:val="1"/>
    <w:link w:val="40"/>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11">
    <w:name w:val="heading 5"/>
    <w:basedOn w:val="1"/>
    <w:next w:val="1"/>
    <w:link w:val="41"/>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12">
    <w:name w:val="heading 6"/>
    <w:basedOn w:val="1"/>
    <w:next w:val="1"/>
    <w:link w:val="42"/>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13">
    <w:name w:val="heading 7"/>
    <w:basedOn w:val="1"/>
    <w:next w:val="1"/>
    <w:link w:val="43"/>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14">
    <w:name w:val="heading 8"/>
    <w:basedOn w:val="1"/>
    <w:next w:val="1"/>
    <w:link w:val="44"/>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5">
    <w:name w:val="heading 9"/>
    <w:basedOn w:val="1"/>
    <w:next w:val="1"/>
    <w:link w:val="45"/>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3">
    <w:name w:val="正文_0_0_0_0"/>
    <w:next w:val="4"/>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both"/>
    </w:pPr>
    <w:rPr>
      <w:rFonts w:hint="default" w:ascii="Calibri" w:hAnsi="Calibri" w:eastAsia="宋体" w:cs="Times New Roman"/>
      <w:color w:val="auto"/>
      <w:spacing w:val="0"/>
      <w:kern w:val="2"/>
      <w:position w:val="0"/>
      <w:sz w:val="21"/>
      <w:szCs w:val="22"/>
      <w:lang w:val="en-US" w:eastAsia="zh-CN" w:bidi="ar-SA"/>
    </w:rPr>
  </w:style>
  <w:style w:type="paragraph" w:styleId="4">
    <w:name w:val="Body Text"/>
    <w:basedOn w:val="5"/>
    <w:next w:val="6"/>
    <w:qFormat/>
    <w:uiPriority w:val="0"/>
    <w:pPr>
      <w:spacing w:line="540" w:lineRule="exact"/>
      <w:jc w:val="center"/>
    </w:pPr>
    <w:rPr>
      <w:rFonts w:ascii="宋体"/>
      <w:b/>
      <w:bCs/>
      <w:sz w:val="44"/>
    </w:rPr>
  </w:style>
  <w:style w:type="paragraph" w:customStyle="1" w:styleId="5">
    <w:name w:val="正文_0_0"/>
    <w:next w:val="4"/>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both"/>
    </w:pPr>
    <w:rPr>
      <w:rFonts w:hint="default" w:ascii="Times New Roman" w:hAnsi="Times New Roman" w:eastAsia="宋体" w:cs="Times New Roman"/>
      <w:color w:val="auto"/>
      <w:spacing w:val="0"/>
      <w:kern w:val="2"/>
      <w:position w:val="0"/>
      <w:sz w:val="21"/>
      <w:szCs w:val="24"/>
      <w:lang w:val="en-US" w:eastAsia="zh-CN" w:bidi="ar-SA"/>
    </w:rPr>
  </w:style>
  <w:style w:type="paragraph" w:customStyle="1" w:styleId="6">
    <w:name w:val="正文_0_0_0"/>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both"/>
    </w:pPr>
    <w:rPr>
      <w:rFonts w:hint="default" w:ascii="Times New Roman" w:hAnsi="Times New Roman" w:eastAsia="宋体" w:cs="Times New Roman"/>
      <w:color w:val="auto"/>
      <w:spacing w:val="0"/>
      <w:kern w:val="2"/>
      <w:position w:val="0"/>
      <w:sz w:val="21"/>
      <w:szCs w:val="24"/>
      <w:lang w:val="en-US" w:eastAsia="zh-CN" w:bidi="ar-SA"/>
    </w:rPr>
  </w:style>
  <w:style w:type="paragraph" w:customStyle="1" w:styleId="8">
    <w:name w:val="正文_0"/>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360" w:lineRule="auto"/>
      <w:ind w:left="0" w:right="0" w:firstLine="0"/>
      <w:jc w:val="left"/>
    </w:pPr>
    <w:rPr>
      <w:rFonts w:hint="default" w:ascii="Calibri" w:hAnsi="Calibri" w:eastAsia="仿宋" w:cs="Times New Roman"/>
      <w:color w:val="auto"/>
      <w:spacing w:val="0"/>
      <w:kern w:val="2"/>
      <w:position w:val="0"/>
      <w:sz w:val="24"/>
      <w:szCs w:val="22"/>
      <w:lang w:val="en-US" w:eastAsia="zh-CN" w:bidi="ar-SA"/>
    </w:rPr>
  </w:style>
  <w:style w:type="paragraph" w:styleId="16">
    <w:name w:val="toc 7"/>
    <w:basedOn w:val="1"/>
    <w:next w:val="1"/>
    <w:unhideWhenUsed/>
    <w:qFormat/>
    <w:uiPriority w:val="39"/>
    <w:pPr>
      <w:overflowPunct w:val="0"/>
      <w:autoSpaceDE w:val="0"/>
      <w:autoSpaceDN w:val="0"/>
      <w:spacing w:after="57"/>
      <w:ind w:left="1701" w:right="0" w:firstLine="0"/>
    </w:pPr>
  </w:style>
  <w:style w:type="paragraph" w:styleId="17">
    <w:name w:val="caption"/>
    <w:basedOn w:val="1"/>
    <w:next w:val="1"/>
    <w:semiHidden/>
    <w:unhideWhenUsed/>
    <w:qFormat/>
    <w:uiPriority w:val="35"/>
    <w:pPr>
      <w:overflowPunct w:val="0"/>
      <w:autoSpaceDE w:val="0"/>
      <w:autoSpaceDN w:val="0"/>
      <w:spacing w:line="276" w:lineRule="auto"/>
    </w:pPr>
    <w:rPr>
      <w:b/>
      <w:bCs/>
      <w:color w:val="5B9BD5" w:themeColor="accent1"/>
      <w:sz w:val="18"/>
      <w:szCs w:val="18"/>
      <w14:textFill>
        <w14:solidFill>
          <w14:schemeClr w14:val="accent1"/>
        </w14:solidFill>
      </w14:textFill>
    </w:rPr>
  </w:style>
  <w:style w:type="paragraph" w:styleId="18">
    <w:name w:val="toc 5"/>
    <w:basedOn w:val="1"/>
    <w:next w:val="1"/>
    <w:unhideWhenUsed/>
    <w:uiPriority w:val="39"/>
    <w:pPr>
      <w:overflowPunct w:val="0"/>
      <w:autoSpaceDE w:val="0"/>
      <w:autoSpaceDN w:val="0"/>
      <w:spacing w:after="57"/>
      <w:ind w:left="1134" w:right="0" w:firstLine="0"/>
    </w:pPr>
  </w:style>
  <w:style w:type="paragraph" w:styleId="19">
    <w:name w:val="toc 3"/>
    <w:basedOn w:val="1"/>
    <w:next w:val="1"/>
    <w:unhideWhenUsed/>
    <w:uiPriority w:val="39"/>
    <w:pPr>
      <w:overflowPunct w:val="0"/>
      <w:autoSpaceDE w:val="0"/>
      <w:autoSpaceDN w:val="0"/>
      <w:spacing w:after="57"/>
      <w:ind w:left="567" w:right="0" w:firstLine="0"/>
    </w:pPr>
  </w:style>
  <w:style w:type="paragraph" w:styleId="20">
    <w:name w:val="toc 8"/>
    <w:basedOn w:val="1"/>
    <w:next w:val="1"/>
    <w:unhideWhenUsed/>
    <w:uiPriority w:val="39"/>
    <w:pPr>
      <w:overflowPunct w:val="0"/>
      <w:autoSpaceDE w:val="0"/>
      <w:autoSpaceDN w:val="0"/>
      <w:spacing w:after="57"/>
      <w:ind w:left="1984" w:right="0" w:firstLine="0"/>
    </w:pPr>
  </w:style>
  <w:style w:type="paragraph" w:styleId="21">
    <w:name w:val="footer"/>
    <w:basedOn w:val="1"/>
    <w:qFormat/>
    <w:uiPriority w:val="99"/>
    <w:pPr>
      <w:tabs>
        <w:tab w:val="center" w:pos="4153"/>
        <w:tab w:val="right" w:pos="8306"/>
      </w:tabs>
      <w:snapToGrid w:val="0"/>
      <w:jc w:val="left"/>
    </w:pPr>
    <w:rPr>
      <w:sz w:val="18"/>
      <w:szCs w:val="18"/>
    </w:rPr>
  </w:style>
  <w:style w:type="paragraph" w:styleId="22">
    <w:name w:val="header"/>
    <w:basedOn w:val="1"/>
    <w:qFormat/>
    <w:uiPriority w:val="0"/>
    <w:pPr>
      <w:tabs>
        <w:tab w:val="center" w:pos="4153"/>
        <w:tab w:val="right" w:pos="8306"/>
      </w:tabs>
      <w:snapToGrid w:val="0"/>
      <w:jc w:val="center"/>
    </w:pPr>
    <w:rPr>
      <w:sz w:val="18"/>
      <w:szCs w:val="18"/>
    </w:rPr>
  </w:style>
  <w:style w:type="paragraph" w:styleId="23">
    <w:name w:val="toc 1"/>
    <w:basedOn w:val="1"/>
    <w:next w:val="1"/>
    <w:unhideWhenUsed/>
    <w:uiPriority w:val="39"/>
    <w:pPr>
      <w:overflowPunct w:val="0"/>
      <w:autoSpaceDE w:val="0"/>
      <w:autoSpaceDN w:val="0"/>
      <w:spacing w:after="57"/>
      <w:ind w:left="0" w:right="0" w:firstLine="0"/>
    </w:pPr>
  </w:style>
  <w:style w:type="paragraph" w:styleId="24">
    <w:name w:val="toc 4"/>
    <w:basedOn w:val="1"/>
    <w:next w:val="1"/>
    <w:unhideWhenUsed/>
    <w:uiPriority w:val="39"/>
    <w:pPr>
      <w:overflowPunct w:val="0"/>
      <w:autoSpaceDE w:val="0"/>
      <w:autoSpaceDN w:val="0"/>
      <w:spacing w:after="57"/>
      <w:ind w:left="850" w:right="0" w:firstLine="0"/>
    </w:pPr>
  </w:style>
  <w:style w:type="paragraph" w:styleId="25">
    <w:name w:val="Subtitle"/>
    <w:basedOn w:val="1"/>
    <w:next w:val="1"/>
    <w:link w:val="49"/>
    <w:qFormat/>
    <w:uiPriority w:val="11"/>
    <w:pPr>
      <w:overflowPunct w:val="0"/>
      <w:autoSpaceDE w:val="0"/>
      <w:autoSpaceDN w:val="0"/>
      <w:spacing w:before="200" w:after="200"/>
    </w:pPr>
    <w:rPr>
      <w:sz w:val="24"/>
      <w:szCs w:val="24"/>
    </w:rPr>
  </w:style>
  <w:style w:type="paragraph" w:styleId="26">
    <w:name w:val="footnote text"/>
    <w:basedOn w:val="1"/>
    <w:link w:val="182"/>
    <w:semiHidden/>
    <w:unhideWhenUsed/>
    <w:uiPriority w:val="99"/>
    <w:pPr>
      <w:overflowPunct w:val="0"/>
      <w:autoSpaceDE w:val="0"/>
      <w:autoSpaceDN w:val="0"/>
      <w:spacing w:after="40" w:line="240" w:lineRule="auto"/>
    </w:pPr>
    <w:rPr>
      <w:sz w:val="18"/>
    </w:rPr>
  </w:style>
  <w:style w:type="paragraph" w:styleId="27">
    <w:name w:val="toc 6"/>
    <w:basedOn w:val="1"/>
    <w:next w:val="1"/>
    <w:unhideWhenUsed/>
    <w:uiPriority w:val="39"/>
    <w:pPr>
      <w:overflowPunct w:val="0"/>
      <w:autoSpaceDE w:val="0"/>
      <w:autoSpaceDN w:val="0"/>
      <w:spacing w:after="57"/>
      <w:ind w:left="1417" w:right="0" w:firstLine="0"/>
    </w:pPr>
  </w:style>
  <w:style w:type="paragraph" w:styleId="28">
    <w:name w:val="toc 2"/>
    <w:basedOn w:val="1"/>
    <w:next w:val="1"/>
    <w:unhideWhenUsed/>
    <w:uiPriority w:val="39"/>
    <w:pPr>
      <w:overflowPunct w:val="0"/>
      <w:autoSpaceDE w:val="0"/>
      <w:autoSpaceDN w:val="0"/>
      <w:spacing w:after="57"/>
      <w:ind w:left="283" w:right="0" w:firstLine="0"/>
    </w:pPr>
  </w:style>
  <w:style w:type="paragraph" w:styleId="29">
    <w:name w:val="toc 9"/>
    <w:basedOn w:val="1"/>
    <w:next w:val="1"/>
    <w:unhideWhenUsed/>
    <w:qFormat/>
    <w:uiPriority w:val="39"/>
    <w:pPr>
      <w:overflowPunct w:val="0"/>
      <w:autoSpaceDE w:val="0"/>
      <w:autoSpaceDN w:val="0"/>
      <w:spacing w:after="57"/>
      <w:ind w:left="2268" w:right="0" w:firstLine="0"/>
    </w:pPr>
  </w:style>
  <w:style w:type="paragraph" w:styleId="30">
    <w:name w:val="Normal (Web)"/>
    <w:basedOn w:val="8"/>
    <w:qFormat/>
    <w:uiPriority w:val="0"/>
    <w:pPr>
      <w:spacing w:before="100" w:beforeAutospacing="1" w:after="100" w:afterAutospacing="1"/>
      <w:ind w:left="0" w:right="0"/>
      <w:jc w:val="left"/>
    </w:pPr>
    <w:rPr>
      <w:kern w:val="0"/>
      <w:sz w:val="24"/>
      <w:lang w:val="en-US" w:eastAsia="zh-CN" w:bidi="ar"/>
    </w:rPr>
  </w:style>
  <w:style w:type="paragraph" w:styleId="31">
    <w:name w:val="Title"/>
    <w:basedOn w:val="1"/>
    <w:next w:val="1"/>
    <w:qFormat/>
    <w:uiPriority w:val="10"/>
    <w:pPr>
      <w:spacing w:before="240" w:after="60"/>
      <w:jc w:val="center"/>
      <w:outlineLvl w:val="0"/>
    </w:pPr>
    <w:rPr>
      <w:rFonts w:ascii="Calibri Light" w:hAnsi="Calibri Light" w:cs="Times New Roman"/>
      <w:b/>
      <w:bCs/>
      <w:sz w:val="28"/>
      <w:szCs w:val="32"/>
    </w:rPr>
  </w:style>
  <w:style w:type="table" w:styleId="33">
    <w:name w:val="Table Grid"/>
    <w:basedOn w:val="32"/>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Hyperlink"/>
    <w:basedOn w:val="34"/>
    <w:qFormat/>
    <w:uiPriority w:val="0"/>
    <w:rPr>
      <w:color w:val="0000FF"/>
      <w:u w:val="single"/>
    </w:rPr>
  </w:style>
  <w:style w:type="character" w:styleId="36">
    <w:name w:val="footnote reference"/>
    <w:basedOn w:val="34"/>
    <w:unhideWhenUsed/>
    <w:uiPriority w:val="99"/>
    <w:rPr>
      <w:vertAlign w:val="superscript"/>
    </w:rPr>
  </w:style>
  <w:style w:type="character" w:customStyle="1" w:styleId="37">
    <w:name w:val="Heading 1 Char"/>
    <w:basedOn w:val="34"/>
    <w:uiPriority w:val="9"/>
    <w:rPr>
      <w:rFonts w:ascii="Arial" w:hAnsi="Arial" w:eastAsia="Arial" w:cs="Arial"/>
      <w:sz w:val="40"/>
      <w:szCs w:val="40"/>
    </w:rPr>
  </w:style>
  <w:style w:type="character" w:customStyle="1" w:styleId="38">
    <w:name w:val="Heading 2 Char"/>
    <w:basedOn w:val="34"/>
    <w:uiPriority w:val="9"/>
    <w:rPr>
      <w:rFonts w:ascii="Arial" w:hAnsi="Arial" w:eastAsia="Arial" w:cs="Arial"/>
      <w:sz w:val="34"/>
    </w:rPr>
  </w:style>
  <w:style w:type="character" w:customStyle="1" w:styleId="39">
    <w:name w:val="Heading 3 Char"/>
    <w:basedOn w:val="34"/>
    <w:uiPriority w:val="9"/>
    <w:rPr>
      <w:rFonts w:ascii="Arial" w:hAnsi="Arial" w:eastAsia="Arial" w:cs="Arial"/>
      <w:sz w:val="30"/>
      <w:szCs w:val="30"/>
    </w:rPr>
  </w:style>
  <w:style w:type="character" w:customStyle="1" w:styleId="40">
    <w:name w:val="Heading 4 Char"/>
    <w:basedOn w:val="34"/>
    <w:link w:val="10"/>
    <w:uiPriority w:val="9"/>
    <w:rPr>
      <w:rFonts w:ascii="Arial" w:hAnsi="Arial" w:eastAsia="Arial" w:cs="Arial"/>
      <w:b/>
      <w:bCs/>
      <w:sz w:val="26"/>
      <w:szCs w:val="26"/>
    </w:rPr>
  </w:style>
  <w:style w:type="character" w:customStyle="1" w:styleId="41">
    <w:name w:val="Heading 5 Char"/>
    <w:basedOn w:val="34"/>
    <w:link w:val="11"/>
    <w:uiPriority w:val="9"/>
    <w:rPr>
      <w:rFonts w:ascii="Arial" w:hAnsi="Arial" w:eastAsia="Arial" w:cs="Arial"/>
      <w:b/>
      <w:bCs/>
      <w:sz w:val="24"/>
      <w:szCs w:val="24"/>
    </w:rPr>
  </w:style>
  <w:style w:type="character" w:customStyle="1" w:styleId="42">
    <w:name w:val="Heading 6 Char"/>
    <w:basedOn w:val="34"/>
    <w:link w:val="12"/>
    <w:uiPriority w:val="9"/>
    <w:rPr>
      <w:rFonts w:ascii="Arial" w:hAnsi="Arial" w:eastAsia="Arial" w:cs="Arial"/>
      <w:b/>
      <w:bCs/>
      <w:sz w:val="22"/>
      <w:szCs w:val="22"/>
    </w:rPr>
  </w:style>
  <w:style w:type="character" w:customStyle="1" w:styleId="43">
    <w:name w:val="Heading 7 Char"/>
    <w:basedOn w:val="34"/>
    <w:link w:val="13"/>
    <w:uiPriority w:val="9"/>
    <w:rPr>
      <w:rFonts w:ascii="Arial" w:hAnsi="Arial" w:eastAsia="Arial" w:cs="Arial"/>
      <w:b/>
      <w:bCs/>
      <w:i/>
      <w:iCs/>
      <w:sz w:val="22"/>
      <w:szCs w:val="22"/>
    </w:rPr>
  </w:style>
  <w:style w:type="character" w:customStyle="1" w:styleId="44">
    <w:name w:val="Heading 8 Char"/>
    <w:basedOn w:val="34"/>
    <w:link w:val="14"/>
    <w:uiPriority w:val="9"/>
    <w:rPr>
      <w:rFonts w:ascii="Arial" w:hAnsi="Arial" w:eastAsia="Arial" w:cs="Arial"/>
      <w:i/>
      <w:iCs/>
      <w:sz w:val="22"/>
      <w:szCs w:val="22"/>
    </w:rPr>
  </w:style>
  <w:style w:type="character" w:customStyle="1" w:styleId="45">
    <w:name w:val="Heading 9 Char"/>
    <w:basedOn w:val="34"/>
    <w:link w:val="15"/>
    <w:uiPriority w:val="9"/>
    <w:rPr>
      <w:rFonts w:ascii="Arial" w:hAnsi="Arial" w:eastAsia="Arial" w:cs="Arial"/>
      <w:i/>
      <w:iCs/>
      <w:sz w:val="21"/>
      <w:szCs w:val="21"/>
    </w:rPr>
  </w:style>
  <w:style w:type="paragraph" w:styleId="46">
    <w:name w:val="List Paragraph"/>
    <w:basedOn w:val="1"/>
    <w:qFormat/>
    <w:uiPriority w:val="34"/>
    <w:pPr>
      <w:overflowPunct w:val="0"/>
      <w:autoSpaceDE w:val="0"/>
      <w:autoSpaceDN w:val="0"/>
      <w:ind w:left="720"/>
      <w:contextualSpacing/>
    </w:pPr>
  </w:style>
  <w:style w:type="paragraph" w:styleId="47">
    <w:name w:val="No Spacing"/>
    <w:qFormat/>
    <w:uiPriority w:val="1"/>
    <w:pPr>
      <w:pBdr>
        <w:top w:val="none" w:color="000000" w:sz="0" w:space="0"/>
        <w:left w:val="none" w:color="000000" w:sz="0" w:space="0"/>
        <w:bottom w:val="none" w:color="000000" w:sz="0" w:space="0"/>
        <w:right w:val="none" w:color="000000" w:sz="0" w:space="0"/>
        <w:between w:val="none" w:color="000000" w:sz="0" w:space="0"/>
      </w:pBdr>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48">
    <w:name w:val="Title Char"/>
    <w:basedOn w:val="34"/>
    <w:uiPriority w:val="10"/>
    <w:rPr>
      <w:sz w:val="48"/>
      <w:szCs w:val="48"/>
    </w:rPr>
  </w:style>
  <w:style w:type="character" w:customStyle="1" w:styleId="49">
    <w:name w:val="Subtitle Char"/>
    <w:basedOn w:val="34"/>
    <w:link w:val="25"/>
    <w:uiPriority w:val="11"/>
    <w:rPr>
      <w:sz w:val="24"/>
      <w:szCs w:val="24"/>
    </w:rPr>
  </w:style>
  <w:style w:type="paragraph" w:styleId="50">
    <w:name w:val="Quote"/>
    <w:basedOn w:val="1"/>
    <w:next w:val="1"/>
    <w:link w:val="51"/>
    <w:qFormat/>
    <w:uiPriority w:val="29"/>
    <w:pPr>
      <w:overflowPunct w:val="0"/>
      <w:autoSpaceDE w:val="0"/>
      <w:autoSpaceDN w:val="0"/>
      <w:ind w:left="720" w:right="720"/>
    </w:pPr>
    <w:rPr>
      <w:i/>
    </w:rPr>
  </w:style>
  <w:style w:type="character" w:customStyle="1" w:styleId="51">
    <w:name w:val="Quote Char"/>
    <w:link w:val="50"/>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53">
    <w:name w:val="Intense Quote Char"/>
    <w:link w:val="52"/>
    <w:uiPriority w:val="30"/>
    <w:rPr>
      <w:i/>
    </w:rPr>
  </w:style>
  <w:style w:type="character" w:customStyle="1" w:styleId="54">
    <w:name w:val="Header Char"/>
    <w:basedOn w:val="34"/>
    <w:uiPriority w:val="99"/>
  </w:style>
  <w:style w:type="character" w:customStyle="1" w:styleId="55">
    <w:name w:val="Footer Char"/>
    <w:basedOn w:val="34"/>
    <w:uiPriority w:val="99"/>
  </w:style>
  <w:style w:type="character" w:customStyle="1" w:styleId="56">
    <w:name w:val="Caption Char"/>
    <w:uiPriority w:val="99"/>
  </w:style>
  <w:style w:type="table" w:customStyle="1" w:styleId="57">
    <w:name w:val="Table Grid Light"/>
    <w:basedOn w:val="32"/>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8">
    <w:name w:val="Plain Table 1"/>
    <w:basedOn w:val="32"/>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9">
    <w:name w:val="Plain Table 2"/>
    <w:basedOn w:val="32"/>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60">
    <w:name w:val="Plain Table 3"/>
    <w:basedOn w:val="32"/>
    <w:uiPriority w:val="99"/>
    <w:pPr>
      <w:overflowPunct w:val="0"/>
      <w:autoSpaceDE w:val="0"/>
      <w:autoSpaceDN w:val="0"/>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61">
    <w:name w:val="Plain Table 4"/>
    <w:basedOn w:val="32"/>
    <w:uiPriority w:val="99"/>
    <w:pPr>
      <w:overflowPunct w:val="0"/>
      <w:autoSpaceDE w:val="0"/>
      <w:autoSpaceDN w:val="0"/>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62">
    <w:name w:val="Plain Table 5"/>
    <w:basedOn w:val="32"/>
    <w:uiPriority w:val="99"/>
    <w:pPr>
      <w:overflowPunct w:val="0"/>
      <w:autoSpaceDE w:val="0"/>
      <w:autoSpaceDN w:val="0"/>
      <w:spacing w:after="0" w:line="240" w:lineRule="auto"/>
    </w:pPr>
    <w:tbl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63">
    <w:name w:val="Grid Table 1 Light"/>
    <w:basedOn w:val="32"/>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4">
    <w:name w:val="Grid Table 1 Light - Accent 1"/>
    <w:basedOn w:val="32"/>
    <w:uiPriority w:val="99"/>
    <w:pPr>
      <w:overflowPunct w:val="0"/>
      <w:autoSpaceDE w:val="0"/>
      <w:autoSpaceDN w:val="0"/>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65">
    <w:name w:val="Grid Table 1 Light - Accent 2"/>
    <w:basedOn w:val="32"/>
    <w:uiPriority w:val="99"/>
    <w:pPr>
      <w:overflowPunct w:val="0"/>
      <w:autoSpaceDE w:val="0"/>
      <w:autoSpaceDN w:val="0"/>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66">
    <w:name w:val="Grid Table 1 Light - Accent 3"/>
    <w:basedOn w:val="32"/>
    <w:uiPriority w:val="99"/>
    <w:pPr>
      <w:overflowPunct w:val="0"/>
      <w:autoSpaceDE w:val="0"/>
      <w:autoSpaceDN w:val="0"/>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67">
    <w:name w:val="Grid Table 1 Light - Accent 4"/>
    <w:basedOn w:val="32"/>
    <w:uiPriority w:val="99"/>
    <w:pPr>
      <w:overflowPunct w:val="0"/>
      <w:autoSpaceDE w:val="0"/>
      <w:autoSpaceDN w:val="0"/>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68">
    <w:name w:val="Grid Table 1 Light - Accent 5"/>
    <w:basedOn w:val="32"/>
    <w:uiPriority w:val="99"/>
    <w:pPr>
      <w:overflowPunct w:val="0"/>
      <w:autoSpaceDE w:val="0"/>
      <w:autoSpaceDN w:val="0"/>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69">
    <w:name w:val="Grid Table 1 Light - Accent 6"/>
    <w:basedOn w:val="32"/>
    <w:uiPriority w:val="99"/>
    <w:pPr>
      <w:overflowPunct w:val="0"/>
      <w:autoSpaceDE w:val="0"/>
      <w:autoSpaceDN w:val="0"/>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table" w:customStyle="1" w:styleId="70">
    <w:name w:val="Grid Table 2"/>
    <w:basedOn w:val="32"/>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1">
    <w:name w:val="Grid Table 2 - Accent 1"/>
    <w:basedOn w:val="32"/>
    <w:uiPriority w:val="99"/>
    <w:pPr>
      <w:overflowPunct w:val="0"/>
      <w:autoSpaceDE w:val="0"/>
      <w:autoSpaceDN w:val="0"/>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auto" w:fill="FFFFFF"/>
      </w:tcPr>
    </w:tblStylePr>
    <w:tblStylePr w:type="lastRow">
      <w:rPr>
        <w:b/>
        <w:color w:val="404040"/>
      </w:rPr>
      <w:tcPr>
        <w:tcBorders>
          <w:top w:val="single" w:color="68A3D8"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DEAF6" w:themeFill="accent1" w:themeFillTint="34"/>
      </w:tcPr>
    </w:tblStylePr>
    <w:tblStylePr w:type="band1Horz">
      <w:rPr>
        <w:rFonts w:ascii="Arial" w:hAnsi="Arial"/>
        <w:color w:val="404040"/>
        <w:sz w:val="22"/>
      </w:rPr>
      <w:tcPr>
        <w:shd w:val="clear" w:color="auto" w:fill="DDEAF6" w:themeFill="accent1" w:themeFillTint="34"/>
      </w:tcPr>
    </w:tblStylePr>
    <w:tblStylePr w:type="neCell"/>
    <w:tblStylePr w:type="nwCell"/>
    <w:tblStylePr w:type="seCell"/>
    <w:tblStylePr w:type="swCell"/>
  </w:style>
  <w:style w:type="table" w:customStyle="1" w:styleId="72">
    <w:name w:val="Grid Table 2 - Accent 2"/>
    <w:basedOn w:val="32"/>
    <w:uiPriority w:val="99"/>
    <w:pPr>
      <w:overflowPunct w:val="0"/>
      <w:autoSpaceDE w:val="0"/>
      <w:autoSpaceDN w:val="0"/>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auto" w:fill="FFFFFF"/>
      </w:tcPr>
    </w:tblStylePr>
    <w:tblStylePr w:type="lastRow">
      <w:rPr>
        <w:b/>
        <w:color w:val="404040"/>
      </w:rPr>
      <w:tcPr>
        <w:tcBorders>
          <w:top w:val="single" w:color="F4B28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tblStylePr w:type="neCell"/>
    <w:tblStylePr w:type="nwCell"/>
    <w:tblStylePr w:type="seCell"/>
    <w:tblStylePr w:type="swCell"/>
  </w:style>
  <w:style w:type="table" w:customStyle="1" w:styleId="73">
    <w:name w:val="Grid Table 2 - Accent 3"/>
    <w:basedOn w:val="32"/>
    <w:uiPriority w:val="99"/>
    <w:pPr>
      <w:overflowPunct w:val="0"/>
      <w:autoSpaceDE w:val="0"/>
      <w:autoSpaceDN w:val="0"/>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auto" w:fill="FFFFFF"/>
      </w:tcPr>
    </w:tblStylePr>
    <w:tblStylePr w:type="lastRow">
      <w:rPr>
        <w:b/>
        <w:color w:val="404040"/>
      </w:rPr>
      <w:tcPr>
        <w:tcBorders>
          <w:top w:val="single" w:color="A5A5A5"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tblStylePr w:type="neCell"/>
    <w:tblStylePr w:type="nwCell"/>
    <w:tblStylePr w:type="seCell"/>
    <w:tblStylePr w:type="swCell"/>
  </w:style>
  <w:style w:type="table" w:customStyle="1" w:styleId="74">
    <w:name w:val="Grid Table 2 - Accent 4"/>
    <w:basedOn w:val="32"/>
    <w:uiPriority w:val="99"/>
    <w:pPr>
      <w:overflowPunct w:val="0"/>
      <w:autoSpaceDE w:val="0"/>
      <w:autoSpaceDN w:val="0"/>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auto" w:fill="FFFFFF"/>
      </w:tcPr>
    </w:tblStylePr>
    <w:tblStylePr w:type="lastRow">
      <w:rPr>
        <w:b/>
        <w:color w:val="404040"/>
      </w:rPr>
      <w:tcPr>
        <w:tcBorders>
          <w:top w:val="single" w:color="FFD864"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tblStylePr w:type="neCell"/>
    <w:tblStylePr w:type="nwCell"/>
    <w:tblStylePr w:type="seCell"/>
    <w:tblStylePr w:type="swCell"/>
  </w:style>
  <w:style w:type="table" w:customStyle="1" w:styleId="75">
    <w:name w:val="Grid Table 2 - Accent 5"/>
    <w:basedOn w:val="32"/>
    <w:uiPriority w:val="99"/>
    <w:pPr>
      <w:overflowPunct w:val="0"/>
      <w:autoSpaceDE w:val="0"/>
      <w:autoSpaceDN w:val="0"/>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auto" w:fill="FFFFFF"/>
      </w:tcPr>
    </w:tblStylePr>
    <w:tblStylePr w:type="lastRow">
      <w:rPr>
        <w:b/>
        <w:color w:val="404040"/>
      </w:rPr>
      <w:tcPr>
        <w:tcBorders>
          <w:top w:val="single" w:color="4472C4"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8E2F2" w:themeFill="accent5" w:themeFillTint="34"/>
      </w:tcPr>
    </w:tblStylePr>
    <w:tblStylePr w:type="band1Horz">
      <w:rPr>
        <w:rFonts w:ascii="Arial" w:hAnsi="Arial"/>
        <w:color w:val="404040"/>
        <w:sz w:val="22"/>
      </w:rPr>
      <w:tcPr>
        <w:shd w:val="clear" w:color="auto" w:fill="D8E2F2" w:themeFill="accent5" w:themeFillTint="34"/>
      </w:tcPr>
    </w:tblStylePr>
    <w:tblStylePr w:type="neCell"/>
    <w:tblStylePr w:type="nwCell"/>
    <w:tblStylePr w:type="seCell"/>
    <w:tblStylePr w:type="swCell"/>
  </w:style>
  <w:style w:type="table" w:customStyle="1" w:styleId="76">
    <w:name w:val="Grid Table 2 - Accent 6"/>
    <w:basedOn w:val="32"/>
    <w:uiPriority w:val="99"/>
    <w:pPr>
      <w:overflowPunct w:val="0"/>
      <w:autoSpaceDE w:val="0"/>
      <w:autoSpaceDN w:val="0"/>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auto" w:fill="FFFFFF"/>
      </w:tcPr>
    </w:tblStylePr>
    <w:tblStylePr w:type="lastRow">
      <w:rPr>
        <w:b/>
        <w:color w:val="404040"/>
      </w:rPr>
      <w:tcPr>
        <w:tcBorders>
          <w:top w:val="single" w:color="70AD47"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77">
    <w:name w:val="Grid Table 3"/>
    <w:basedOn w:val="32"/>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8">
    <w:name w:val="Grid Table 3 - Accent 1"/>
    <w:basedOn w:val="32"/>
    <w:uiPriority w:val="99"/>
    <w:pPr>
      <w:overflowPunct w:val="0"/>
      <w:autoSpaceDE w:val="0"/>
      <w:autoSpaceDN w:val="0"/>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DEAF6" w:themeFill="accent1" w:themeFillTint="34"/>
      </w:tcPr>
    </w:tblStylePr>
    <w:tblStylePr w:type="band1Horz">
      <w:rPr>
        <w:rFonts w:ascii="Arial" w:hAnsi="Arial"/>
        <w:color w:val="404040"/>
        <w:sz w:val="22"/>
      </w:rPr>
      <w:tcPr>
        <w:shd w:val="clear" w:color="auto" w:fill="DDEAF6" w:themeFill="accent1" w:themeFillTint="34"/>
      </w:tcPr>
    </w:tblStylePr>
    <w:tblStylePr w:type="neCell"/>
    <w:tblStylePr w:type="nwCell"/>
    <w:tblStylePr w:type="seCell"/>
    <w:tblStylePr w:type="swCell"/>
  </w:style>
  <w:style w:type="table" w:customStyle="1" w:styleId="79">
    <w:name w:val="Grid Table 3 - Accent 2"/>
    <w:basedOn w:val="32"/>
    <w:uiPriority w:val="99"/>
    <w:pPr>
      <w:overflowPunct w:val="0"/>
      <w:autoSpaceDE w:val="0"/>
      <w:autoSpaceDN w:val="0"/>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tblStylePr w:type="neCell"/>
    <w:tblStylePr w:type="nwCell"/>
    <w:tblStylePr w:type="seCell"/>
    <w:tblStylePr w:type="swCell"/>
  </w:style>
  <w:style w:type="table" w:customStyle="1" w:styleId="80">
    <w:name w:val="Grid Table 3 - Accent 3"/>
    <w:basedOn w:val="32"/>
    <w:uiPriority w:val="99"/>
    <w:pPr>
      <w:overflowPunct w:val="0"/>
      <w:autoSpaceDE w:val="0"/>
      <w:autoSpaceDN w:val="0"/>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tblStylePr w:type="neCell"/>
    <w:tblStylePr w:type="nwCell"/>
    <w:tblStylePr w:type="seCell"/>
    <w:tblStylePr w:type="swCell"/>
  </w:style>
  <w:style w:type="table" w:customStyle="1" w:styleId="81">
    <w:name w:val="Grid Table 3 - Accent 4"/>
    <w:basedOn w:val="32"/>
    <w:uiPriority w:val="99"/>
    <w:pPr>
      <w:overflowPunct w:val="0"/>
      <w:autoSpaceDE w:val="0"/>
      <w:autoSpaceDN w:val="0"/>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tblStylePr w:type="neCell"/>
    <w:tblStylePr w:type="nwCell"/>
    <w:tblStylePr w:type="seCell"/>
    <w:tblStylePr w:type="swCell"/>
  </w:style>
  <w:style w:type="table" w:customStyle="1" w:styleId="82">
    <w:name w:val="Grid Table 3 - Accent 5"/>
    <w:basedOn w:val="32"/>
    <w:uiPriority w:val="99"/>
    <w:pPr>
      <w:overflowPunct w:val="0"/>
      <w:autoSpaceDE w:val="0"/>
      <w:autoSpaceDN w:val="0"/>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8E2F2" w:themeFill="accent5" w:themeFillTint="34"/>
      </w:tcPr>
    </w:tblStylePr>
    <w:tblStylePr w:type="band1Horz">
      <w:rPr>
        <w:rFonts w:ascii="Arial" w:hAnsi="Arial"/>
        <w:color w:val="404040"/>
        <w:sz w:val="22"/>
      </w:rPr>
      <w:tcPr>
        <w:shd w:val="clear" w:color="auto" w:fill="D8E2F2" w:themeFill="accent5" w:themeFillTint="34"/>
      </w:tcPr>
    </w:tblStylePr>
    <w:tblStylePr w:type="neCell"/>
    <w:tblStylePr w:type="nwCell"/>
    <w:tblStylePr w:type="seCell"/>
    <w:tblStylePr w:type="swCell"/>
  </w:style>
  <w:style w:type="table" w:customStyle="1" w:styleId="83">
    <w:name w:val="Grid Table 3 - Accent 6"/>
    <w:basedOn w:val="32"/>
    <w:uiPriority w:val="99"/>
    <w:pPr>
      <w:overflowPunct w:val="0"/>
      <w:autoSpaceDE w:val="0"/>
      <w:autoSpaceDN w:val="0"/>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84">
    <w:name w:val="Grid Table 4"/>
    <w:basedOn w:val="32"/>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5">
    <w:name w:val="Grid Table 4 - Accent 1"/>
    <w:basedOn w:val="32"/>
    <w:uiPriority w:val="59"/>
    <w:pPr>
      <w:overflowPunct w:val="0"/>
      <w:autoSpaceDE w:val="0"/>
      <w:autoSpaceDN w:val="0"/>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auto"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EEBF6" w:themeFill="accent1" w:themeFillTint="32"/>
      </w:tcPr>
    </w:tblStylePr>
    <w:tblStylePr w:type="band1Horz">
      <w:rPr>
        <w:rFonts w:ascii="Arial" w:hAnsi="Arial"/>
        <w:color w:val="404040"/>
        <w:sz w:val="22"/>
      </w:rPr>
      <w:tcPr>
        <w:shd w:val="clear" w:color="auto" w:fill="DEEBF6" w:themeFill="accent1" w:themeFillTint="32"/>
      </w:tcPr>
    </w:tblStylePr>
    <w:tblStylePr w:type="neCell"/>
    <w:tblStylePr w:type="nwCell"/>
    <w:tblStylePr w:type="seCell"/>
    <w:tblStylePr w:type="swCell"/>
  </w:style>
  <w:style w:type="table" w:customStyle="1" w:styleId="86">
    <w:name w:val="Grid Table 4 - Accent 2"/>
    <w:basedOn w:val="32"/>
    <w:uiPriority w:val="59"/>
    <w:pPr>
      <w:overflowPunct w:val="0"/>
      <w:autoSpaceDE w:val="0"/>
      <w:autoSpaceDN w:val="0"/>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auto"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tblStylePr w:type="neCell"/>
    <w:tblStylePr w:type="nwCell"/>
    <w:tblStylePr w:type="seCell"/>
    <w:tblStylePr w:type="swCell"/>
  </w:style>
  <w:style w:type="table" w:customStyle="1" w:styleId="87">
    <w:name w:val="Grid Table 4 - Accent 3"/>
    <w:basedOn w:val="32"/>
    <w:uiPriority w:val="59"/>
    <w:pPr>
      <w:overflowPunct w:val="0"/>
      <w:autoSpaceDE w:val="0"/>
      <w:autoSpaceDN w:val="0"/>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uto"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tblStylePr w:type="neCell"/>
    <w:tblStylePr w:type="nwCell"/>
    <w:tblStylePr w:type="seCell"/>
    <w:tblStylePr w:type="swCell"/>
  </w:style>
  <w:style w:type="table" w:customStyle="1" w:styleId="88">
    <w:name w:val="Grid Table 4 - Accent 4"/>
    <w:basedOn w:val="32"/>
    <w:uiPriority w:val="59"/>
    <w:pPr>
      <w:overflowPunct w:val="0"/>
      <w:autoSpaceDE w:val="0"/>
      <w:autoSpaceDN w:val="0"/>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auto"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tblStylePr w:type="neCell"/>
    <w:tblStylePr w:type="nwCell"/>
    <w:tblStylePr w:type="seCell"/>
    <w:tblStylePr w:type="swCell"/>
  </w:style>
  <w:style w:type="table" w:customStyle="1" w:styleId="89">
    <w:name w:val="Grid Table 4 - Accent 5"/>
    <w:basedOn w:val="32"/>
    <w:uiPriority w:val="59"/>
    <w:pPr>
      <w:overflowPunct w:val="0"/>
      <w:autoSpaceDE w:val="0"/>
      <w:autoSpaceDN w:val="0"/>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auto"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8E2F2" w:themeFill="accent5" w:themeFillTint="34"/>
      </w:tcPr>
    </w:tblStylePr>
    <w:tblStylePr w:type="band1Horz">
      <w:rPr>
        <w:rFonts w:ascii="Arial" w:hAnsi="Arial"/>
        <w:color w:val="404040"/>
        <w:sz w:val="22"/>
      </w:rPr>
      <w:tcPr>
        <w:shd w:val="clear" w:color="auto" w:fill="D8E2F2" w:themeFill="accent5" w:themeFillTint="34"/>
      </w:tcPr>
    </w:tblStylePr>
    <w:tblStylePr w:type="neCell"/>
    <w:tblStylePr w:type="nwCell"/>
    <w:tblStylePr w:type="seCell"/>
    <w:tblStylePr w:type="swCell"/>
  </w:style>
  <w:style w:type="table" w:customStyle="1" w:styleId="90">
    <w:name w:val="Grid Table 4 - Accent 6"/>
    <w:basedOn w:val="32"/>
    <w:uiPriority w:val="59"/>
    <w:pPr>
      <w:overflowPunct w:val="0"/>
      <w:autoSpaceDE w:val="0"/>
      <w:autoSpaceDN w:val="0"/>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auto"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91">
    <w:name w:val="Grid Table 5 Dark"/>
    <w:basedOn w:val="32"/>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92">
    <w:name w:val="Grid Table 5 Dark- Accent 1"/>
    <w:basedOn w:val="32"/>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5B9BD5" w:themeFill="accent1"/>
      </w:tcPr>
    </w:tblStylePr>
    <w:tblStylePr w:type="lastRow">
      <w:rPr>
        <w:rFonts w:ascii="Arial" w:hAnsi="Arial"/>
        <w:b/>
        <w:color w:val="FFFFFF"/>
        <w:sz w:val="22"/>
      </w:rPr>
      <w:tcPr>
        <w:tcBorders>
          <w:top w:val="single" w:color="FFFFFF" w:themeColor="light1" w:sz="4" w:space="0"/>
        </w:tcBorders>
        <w:shd w:val="clear" w:color="auto" w:fill="5B9BD5" w:themeFill="accent1"/>
      </w:tcPr>
    </w:tblStylePr>
    <w:tblStylePr w:type="firstCol">
      <w:rPr>
        <w:rFonts w:ascii="Arial" w:hAnsi="Arial"/>
        <w:b/>
        <w:color w:val="FFFFFF"/>
        <w:sz w:val="22"/>
      </w:rPr>
      <w:tcPr>
        <w:shd w:val="clear" w:color="auto" w:fill="5B9BD5" w:themeFill="accent1"/>
      </w:tcPr>
    </w:tblStylePr>
    <w:tblStylePr w:type="lastCol">
      <w:rPr>
        <w:rFonts w:ascii="Arial" w:hAnsi="Arial"/>
        <w:b/>
        <w:color w:val="FFFFFF"/>
        <w:sz w:val="22"/>
      </w:rPr>
      <w:tcPr>
        <w:shd w:val="clear" w:color="auto" w:fill="5B9BD5" w:themeFill="accent1"/>
      </w:tcPr>
    </w:tblStylePr>
    <w:tblStylePr w:type="band1Vert">
      <w:tcPr>
        <w:shd w:val="clear" w:color="auto" w:fill="B3D1EB" w:themeFill="accent1" w:themeFillTint="75"/>
      </w:tcPr>
    </w:tblStylePr>
    <w:tblStylePr w:type="band1Horz">
      <w:tcPr>
        <w:shd w:val="clear" w:color="auto" w:fill="B3D1EB" w:themeFill="accent1" w:themeFillTint="75"/>
      </w:tcPr>
    </w:tblStylePr>
    <w:tblStylePr w:type="neCell"/>
    <w:tblStylePr w:type="nwCell"/>
    <w:tblStylePr w:type="seCell"/>
    <w:tblStylePr w:type="swCell"/>
  </w:style>
  <w:style w:type="table" w:customStyle="1" w:styleId="93">
    <w:name w:val="Grid Table 5 Dark - Accent 2"/>
    <w:basedOn w:val="32"/>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ED7D31" w:themeFill="accent2"/>
      </w:tcPr>
    </w:tblStylePr>
    <w:tblStylePr w:type="lastRow">
      <w:rPr>
        <w:rFonts w:ascii="Arial" w:hAnsi="Arial"/>
        <w:b/>
        <w:color w:val="FFFFFF"/>
        <w:sz w:val="22"/>
      </w:rPr>
      <w:tcPr>
        <w:tcBorders>
          <w:top w:val="single" w:color="FFFFFF" w:themeColor="light1" w:sz="4" w:space="0"/>
        </w:tcBorders>
        <w:shd w:val="clear" w:color="auto" w:fill="ED7D31" w:themeFill="accent2"/>
      </w:tcPr>
    </w:tblStylePr>
    <w:tblStylePr w:type="firstCol">
      <w:rPr>
        <w:rFonts w:ascii="Arial" w:hAnsi="Arial"/>
        <w:b/>
        <w:color w:val="FFFFFF"/>
        <w:sz w:val="22"/>
      </w:rPr>
      <w:tcPr>
        <w:shd w:val="clear" w:color="auto" w:fill="ED7D31" w:themeFill="accent2"/>
      </w:tcPr>
    </w:tblStylePr>
    <w:tblStylePr w:type="lastCol">
      <w:rPr>
        <w:rFonts w:ascii="Arial" w:hAnsi="Arial"/>
        <w:b/>
        <w:color w:val="FFFFFF"/>
        <w:sz w:val="22"/>
      </w:rPr>
      <w:tcPr>
        <w:shd w:val="clear" w:color="auto" w:fill="ED7D31" w:themeFill="accent2"/>
      </w:tcPr>
    </w:tblStylePr>
    <w:tblStylePr w:type="band1Vert">
      <w:tcPr>
        <w:shd w:val="clear" w:color="auto" w:fill="F6C3A0" w:themeFill="accent2" w:themeFillTint="75"/>
      </w:tcPr>
    </w:tblStylePr>
    <w:tblStylePr w:type="band1Horz">
      <w:tcPr>
        <w:shd w:val="clear" w:color="auto" w:fill="F6C3A0" w:themeFill="accent2" w:themeFillTint="75"/>
      </w:tcPr>
    </w:tblStylePr>
    <w:tblStylePr w:type="neCell"/>
    <w:tblStylePr w:type="nwCell"/>
    <w:tblStylePr w:type="seCell"/>
    <w:tblStylePr w:type="swCell"/>
  </w:style>
  <w:style w:type="table" w:customStyle="1" w:styleId="94">
    <w:name w:val="Grid Table 5 Dark - Accent 3"/>
    <w:basedOn w:val="32"/>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A5A5A5" w:themeFill="accent3"/>
      </w:tcPr>
    </w:tblStylePr>
    <w:tblStylePr w:type="lastRow">
      <w:rPr>
        <w:rFonts w:ascii="Arial" w:hAnsi="Arial"/>
        <w:b/>
        <w:color w:val="FFFFFF"/>
        <w:sz w:val="22"/>
      </w:rPr>
      <w:tcPr>
        <w:tcBorders>
          <w:top w:val="single" w:color="FFFFFF" w:themeColor="light1" w:sz="4" w:space="0"/>
        </w:tcBorders>
        <w:shd w:val="clear" w:color="auto" w:fill="A5A5A5" w:themeFill="accent3"/>
      </w:tcPr>
    </w:tblStylePr>
    <w:tblStylePr w:type="firstCol">
      <w:rPr>
        <w:rFonts w:ascii="Arial" w:hAnsi="Arial"/>
        <w:b/>
        <w:color w:val="FFFFFF"/>
        <w:sz w:val="22"/>
      </w:rPr>
      <w:tcPr>
        <w:shd w:val="clear" w:color="auto" w:fill="A5A5A5" w:themeFill="accent3"/>
      </w:tcPr>
    </w:tblStylePr>
    <w:tblStylePr w:type="lastCol">
      <w:rPr>
        <w:rFonts w:ascii="Arial" w:hAnsi="Arial"/>
        <w:b/>
        <w:color w:val="FFFFFF"/>
        <w:sz w:val="22"/>
      </w:rPr>
      <w:tcPr>
        <w:shd w:val="clear" w:color="auto" w:fill="A5A5A5" w:themeFill="accent3"/>
      </w:tcPr>
    </w:tblStylePr>
    <w:tblStylePr w:type="band1Vert">
      <w:tcPr>
        <w:shd w:val="clear" w:color="auto" w:fill="D5D5D5" w:themeFill="accent3" w:themeFillTint="75"/>
      </w:tcPr>
    </w:tblStylePr>
    <w:tblStylePr w:type="band1Horz">
      <w:tcPr>
        <w:shd w:val="clear" w:color="auto" w:fill="D5D5D5" w:themeFill="accent3" w:themeFillTint="75"/>
      </w:tcPr>
    </w:tblStylePr>
    <w:tblStylePr w:type="neCell"/>
    <w:tblStylePr w:type="nwCell"/>
    <w:tblStylePr w:type="seCell"/>
    <w:tblStylePr w:type="swCell"/>
  </w:style>
  <w:style w:type="table" w:customStyle="1" w:styleId="95">
    <w:name w:val="Grid Table 5 Dark- Accent 4"/>
    <w:basedOn w:val="32"/>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FC000" w:themeFill="accent4"/>
      </w:tcPr>
    </w:tblStylePr>
    <w:tblStylePr w:type="lastRow">
      <w:rPr>
        <w:rFonts w:ascii="Arial" w:hAnsi="Arial"/>
        <w:b/>
        <w:color w:val="FFFFFF"/>
        <w:sz w:val="22"/>
      </w:rPr>
      <w:tcPr>
        <w:tcBorders>
          <w:top w:val="single" w:color="FFFFFF" w:themeColor="light1" w:sz="4" w:space="0"/>
        </w:tcBorders>
        <w:shd w:val="clear" w:color="auto" w:fill="FFC000" w:themeFill="accent4"/>
      </w:tcPr>
    </w:tblStylePr>
    <w:tblStylePr w:type="firstCol">
      <w:rPr>
        <w:rFonts w:ascii="Arial" w:hAnsi="Arial"/>
        <w:b/>
        <w:color w:val="FFFFFF"/>
        <w:sz w:val="22"/>
      </w:rPr>
      <w:tcPr>
        <w:shd w:val="clear" w:color="auto" w:fill="FFC000" w:themeFill="accent4"/>
      </w:tcPr>
    </w:tblStylePr>
    <w:tblStylePr w:type="lastCol">
      <w:rPr>
        <w:rFonts w:ascii="Arial" w:hAnsi="Arial"/>
        <w:b/>
        <w:color w:val="FFFFFF"/>
        <w:sz w:val="22"/>
      </w:rPr>
      <w:tcPr>
        <w:shd w:val="clear" w:color="auto" w:fill="FFC000" w:themeFill="accent4"/>
      </w:tcPr>
    </w:tblStylePr>
    <w:tblStylePr w:type="band1Vert">
      <w:tcPr>
        <w:shd w:val="clear" w:color="auto" w:fill="FEE289" w:themeFill="accent4" w:themeFillTint="75"/>
      </w:tcPr>
    </w:tblStylePr>
    <w:tblStylePr w:type="band1Horz">
      <w:tcPr>
        <w:shd w:val="clear" w:color="auto" w:fill="FEE289" w:themeFill="accent4" w:themeFillTint="75"/>
      </w:tcPr>
    </w:tblStylePr>
    <w:tblStylePr w:type="neCell"/>
    <w:tblStylePr w:type="nwCell"/>
    <w:tblStylePr w:type="seCell"/>
    <w:tblStylePr w:type="swCell"/>
  </w:style>
  <w:style w:type="table" w:customStyle="1" w:styleId="96">
    <w:name w:val="Grid Table 5 Dark - Accent 5"/>
    <w:basedOn w:val="32"/>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472C4" w:themeFill="accent5"/>
      </w:tcPr>
    </w:tblStylePr>
    <w:tblStylePr w:type="lastRow">
      <w:rPr>
        <w:rFonts w:ascii="Arial" w:hAnsi="Arial"/>
        <w:b/>
        <w:color w:val="FFFFFF"/>
        <w:sz w:val="22"/>
      </w:rPr>
      <w:tcPr>
        <w:tcBorders>
          <w:top w:val="single" w:color="FFFFFF" w:themeColor="light1" w:sz="4" w:space="0"/>
        </w:tcBorders>
        <w:shd w:val="clear" w:color="auto" w:fill="4472C4" w:themeFill="accent5"/>
      </w:tcPr>
    </w:tblStylePr>
    <w:tblStylePr w:type="firstCol">
      <w:rPr>
        <w:rFonts w:ascii="Arial" w:hAnsi="Arial"/>
        <w:b/>
        <w:color w:val="FFFFFF"/>
        <w:sz w:val="22"/>
      </w:rPr>
      <w:tcPr>
        <w:shd w:val="clear" w:color="auto" w:fill="4472C4" w:themeFill="accent5"/>
      </w:tcPr>
    </w:tblStylePr>
    <w:tblStylePr w:type="lastCol">
      <w:rPr>
        <w:rFonts w:ascii="Arial" w:hAnsi="Arial"/>
        <w:b/>
        <w:color w:val="FFFFFF"/>
        <w:sz w:val="22"/>
      </w:rPr>
      <w:tcPr>
        <w:shd w:val="clear" w:color="auto" w:fill="4472C4" w:themeFill="accent5"/>
      </w:tcPr>
    </w:tblStylePr>
    <w:tblStylePr w:type="band1Vert">
      <w:tcPr>
        <w:shd w:val="clear" w:color="auto" w:fill="A9BEE3" w:themeFill="accent5" w:themeFillTint="75"/>
      </w:tcPr>
    </w:tblStylePr>
    <w:tblStylePr w:type="band1Horz">
      <w:tcPr>
        <w:shd w:val="clear" w:color="auto" w:fill="A9BEE3" w:themeFill="accent5" w:themeFillTint="75"/>
      </w:tcPr>
    </w:tblStylePr>
    <w:tblStylePr w:type="neCell"/>
    <w:tblStylePr w:type="nwCell"/>
    <w:tblStylePr w:type="seCell"/>
    <w:tblStylePr w:type="swCell"/>
  </w:style>
  <w:style w:type="table" w:customStyle="1" w:styleId="97">
    <w:name w:val="Grid Table 5 Dark - Accent 6"/>
    <w:basedOn w:val="32"/>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70AD47" w:themeFill="accent6"/>
      </w:tcPr>
    </w:tblStylePr>
    <w:tblStylePr w:type="lastRow">
      <w:rPr>
        <w:rFonts w:ascii="Arial" w:hAnsi="Arial"/>
        <w:b/>
        <w:color w:val="FFFFFF"/>
        <w:sz w:val="22"/>
      </w:rPr>
      <w:tcPr>
        <w:tcBorders>
          <w:top w:val="single" w:color="FFFFFF" w:themeColor="light1" w:sz="4" w:space="0"/>
        </w:tcBorders>
        <w:shd w:val="clear" w:color="auto" w:fill="70AD47" w:themeFill="accent6"/>
      </w:tcPr>
    </w:tblStylePr>
    <w:tblStylePr w:type="firstCol">
      <w:rPr>
        <w:rFonts w:ascii="Arial" w:hAnsi="Arial"/>
        <w:b/>
        <w:color w:val="FFFFFF"/>
        <w:sz w:val="22"/>
      </w:rPr>
      <w:tcPr>
        <w:shd w:val="clear" w:color="auto" w:fill="70AD47" w:themeFill="accent6"/>
      </w:tcPr>
    </w:tblStylePr>
    <w:tblStylePr w:type="lastCol">
      <w:rPr>
        <w:rFonts w:ascii="Arial" w:hAnsi="Arial"/>
        <w:b/>
        <w:color w:val="FFFFFF"/>
        <w:sz w:val="22"/>
      </w:rPr>
      <w:tcPr>
        <w:shd w:val="clear" w:color="auto" w:fill="70AD47" w:themeFill="accent6"/>
      </w:tcPr>
    </w:tblStylePr>
    <w:tblStylePr w:type="band1Vert">
      <w:tcPr>
        <w:shd w:val="clear" w:color="auto" w:fill="BCDBA8" w:themeFill="accent6" w:themeFillTint="75"/>
      </w:tcPr>
    </w:tblStylePr>
    <w:tblStylePr w:type="band1Horz">
      <w:tcPr>
        <w:shd w:val="clear" w:color="auto" w:fill="BCDBA8" w:themeFill="accent6" w:themeFillTint="75"/>
      </w:tcPr>
    </w:tblStylePr>
    <w:tblStylePr w:type="neCell"/>
    <w:tblStylePr w:type="nwCell"/>
    <w:tblStylePr w:type="seCell"/>
    <w:tblStylePr w:type="swCell"/>
  </w:style>
  <w:style w:type="table" w:customStyle="1" w:styleId="98">
    <w:name w:val="Grid Table 6 Colorful"/>
    <w:basedOn w:val="32"/>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9">
    <w:name w:val="Grid Table 6 Colorful - Accent 1"/>
    <w:basedOn w:val="32"/>
    <w:uiPriority w:val="99"/>
    <w:pPr>
      <w:overflowPunct w:val="0"/>
      <w:autoSpaceDE w:val="0"/>
      <w:autoSpaceDN w:val="0"/>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auto"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auto"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0">
    <w:name w:val="Grid Table 6 Colorful - Accent 2"/>
    <w:basedOn w:val="32"/>
    <w:uiPriority w:val="99"/>
    <w:pPr>
      <w:overflowPunct w:val="0"/>
      <w:autoSpaceDE w:val="0"/>
      <w:autoSpaceDN w:val="0"/>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1">
    <w:name w:val="Grid Table 6 Colorful - Accent 3"/>
    <w:basedOn w:val="32"/>
    <w:uiPriority w:val="99"/>
    <w:pPr>
      <w:overflowPunct w:val="0"/>
      <w:autoSpaceDE w:val="0"/>
      <w:autoSpaceDN w:val="0"/>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auto"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auto"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2">
    <w:name w:val="Grid Table 6 Colorful - Accent 4"/>
    <w:basedOn w:val="32"/>
    <w:uiPriority w:val="99"/>
    <w:pPr>
      <w:overflowPunct w:val="0"/>
      <w:autoSpaceDE w:val="0"/>
      <w:autoSpaceDN w:val="0"/>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3">
    <w:name w:val="Grid Table 6 Colorful - Accent 5"/>
    <w:basedOn w:val="32"/>
    <w:uiPriority w:val="99"/>
    <w:pPr>
      <w:overflowPunct w:val="0"/>
      <w:autoSpaceDE w:val="0"/>
      <w:autoSpaceDN w:val="0"/>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auto" w:fill="D8E2F2" w:themeFill="accent5" w:themeFillTint="34"/>
      </w:tcPr>
    </w:tblStylePr>
    <w:tblStylePr w:type="band2Vert"/>
    <w:tblStylePr w:type="band1Horz">
      <w:rPr>
        <w:rFonts w:ascii="Arial" w:hAnsi="Arial"/>
        <w:color w:val="254174" w:themeColor="accent5" w:themeShade="94"/>
        <w:sz w:val="22"/>
      </w:rPr>
      <w:tcPr>
        <w:shd w:val="clear" w:color="auto"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4">
    <w:name w:val="Grid Table 6 Colorful - Accent 6"/>
    <w:basedOn w:val="32"/>
    <w:uiPriority w:val="99"/>
    <w:pPr>
      <w:overflowPunct w:val="0"/>
      <w:autoSpaceDE w:val="0"/>
      <w:autoSpaceDN w:val="0"/>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auto" w:fill="E1EFD8" w:themeFill="accent6" w:themeFillTint="34"/>
      </w:tcPr>
    </w:tblStylePr>
    <w:tblStylePr w:type="band2Vert"/>
    <w:tblStylePr w:type="band1Horz">
      <w:rPr>
        <w:rFonts w:ascii="Arial" w:hAnsi="Arial"/>
        <w:color w:val="254174" w:themeColor="accent5" w:themeShade="94"/>
        <w:sz w:val="22"/>
      </w:rPr>
      <w:tcPr>
        <w:shd w:val="clear" w:color="auto" w:fill="E1EFD8" w:themeFill="accent6"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5">
    <w:name w:val="Grid Table 7 Colorful"/>
    <w:basedOn w:val="32"/>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6">
    <w:name w:val="Grid Table 7 Colorful - Accent 1"/>
    <w:basedOn w:val="32"/>
    <w:uiPriority w:val="99"/>
    <w:pPr>
      <w:overflowPunct w:val="0"/>
      <w:autoSpaceDE w:val="0"/>
      <w:autoSpaceDN w:val="0"/>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auto"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auto"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auto" w:fill="auto"/>
      </w:tcPr>
    </w:tblStylePr>
    <w:tblStylePr w:type="band1Vert">
      <w:tcPr>
        <w:shd w:val="clear" w:color="auto"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auto"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7">
    <w:name w:val="Grid Table 7 Colorful - Accent 2"/>
    <w:basedOn w:val="32"/>
    <w:uiPriority w:val="99"/>
    <w:pPr>
      <w:overflowPunct w:val="0"/>
      <w:autoSpaceDE w:val="0"/>
      <w:autoSpaceDN w:val="0"/>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auto"/>
      </w:tcPr>
    </w:tblStylePr>
    <w:tblStylePr w:type="band1Vert">
      <w:tcPr>
        <w:shd w:val="clear" w:color="auto"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8">
    <w:name w:val="Grid Table 7 Colorful - Accent 3"/>
    <w:basedOn w:val="32"/>
    <w:uiPriority w:val="99"/>
    <w:pPr>
      <w:overflowPunct w:val="0"/>
      <w:autoSpaceDE w:val="0"/>
      <w:autoSpaceDN w:val="0"/>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auto"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auto"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auto" w:fill="auto"/>
      </w:tcPr>
    </w:tblStylePr>
    <w:tblStylePr w:type="band1Vert">
      <w:tcPr>
        <w:shd w:val="clear" w:color="auto"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auto"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9">
    <w:name w:val="Grid Table 7 Colorful - Accent 4"/>
    <w:basedOn w:val="32"/>
    <w:uiPriority w:val="99"/>
    <w:pPr>
      <w:overflowPunct w:val="0"/>
      <w:autoSpaceDE w:val="0"/>
      <w:autoSpaceDN w:val="0"/>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auto"/>
      </w:tcPr>
    </w:tblStylePr>
    <w:tblStylePr w:type="band1Vert">
      <w:tcPr>
        <w:shd w:val="clear" w:color="auto"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0">
    <w:name w:val="Grid Table 7 Colorful - Accent 5"/>
    <w:basedOn w:val="32"/>
    <w:uiPriority w:val="99"/>
    <w:pPr>
      <w:overflowPunct w:val="0"/>
      <w:autoSpaceDE w:val="0"/>
      <w:autoSpaceDN w:val="0"/>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auto"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auto"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auto" w:fill="auto"/>
      </w:tcPr>
    </w:tblStylePr>
    <w:tblStylePr w:type="band1Vert">
      <w:tcPr>
        <w:shd w:val="clear" w:color="auto" w:fill="D8E2F2" w:themeFill="accent5" w:themeFillTint="34"/>
      </w:tcPr>
    </w:tblStylePr>
    <w:tblStylePr w:type="band2Vert"/>
    <w:tblStylePr w:type="band1Horz">
      <w:rPr>
        <w:rFonts w:ascii="Arial" w:hAnsi="Arial"/>
        <w:color w:val="254174" w:themeColor="accent5" w:themeShade="94"/>
        <w:sz w:val="22"/>
      </w:rPr>
      <w:tcPr>
        <w:shd w:val="clear" w:color="auto"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11">
    <w:name w:val="Grid Table 7 Colorful - Accent 6"/>
    <w:basedOn w:val="32"/>
    <w:uiPriority w:val="99"/>
    <w:pPr>
      <w:overflowPunct w:val="0"/>
      <w:autoSpaceDE w:val="0"/>
      <w:autoSpaceDN w:val="0"/>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auto"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auto"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auto" w:fill="auto"/>
      </w:tcPr>
    </w:tblStylePr>
    <w:tblStylePr w:type="band1Vert">
      <w:tcPr>
        <w:shd w:val="clear" w:color="auto" w:fill="E1EFD8" w:themeFill="accent6" w:themeFillTint="34"/>
      </w:tcPr>
    </w:tblStylePr>
    <w:tblStylePr w:type="band2Vert"/>
    <w:tblStylePr w:type="band1Horz">
      <w:rPr>
        <w:rFonts w:ascii="Arial" w:hAnsi="Arial"/>
        <w:color w:val="416429" w:themeColor="accent6" w:themeShade="94"/>
        <w:sz w:val="22"/>
      </w:rPr>
      <w:tcPr>
        <w:shd w:val="clear" w:color="auto" w:fill="E1EFD8" w:themeFill="accent6" w:themeFillTint="34"/>
      </w:tcPr>
    </w:tblStylePr>
    <w:tblStylePr w:type="band2Horz">
      <w:rPr>
        <w:rFonts w:ascii="Arial" w:hAnsi="Arial"/>
        <w:color w:val="416429" w:themeColor="accent6" w:themeShade="94"/>
        <w:sz w:val="22"/>
      </w:rPr>
    </w:tblStylePr>
    <w:tblStylePr w:type="neCell"/>
    <w:tblStylePr w:type="nwCell"/>
    <w:tblStylePr w:type="seCell"/>
    <w:tblStylePr w:type="swCell"/>
  </w:style>
  <w:style w:type="table" w:customStyle="1" w:styleId="112">
    <w:name w:val="List Table 1 Light"/>
    <w:basedOn w:val="32"/>
    <w:uiPriority w:val="99"/>
    <w:pPr>
      <w:overflowPunct w:val="0"/>
      <w:autoSpaceDE w:val="0"/>
      <w:autoSpaceDN w:val="0"/>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13">
    <w:name w:val="List Table 1 Light - Accent 1"/>
    <w:basedOn w:val="32"/>
    <w:uiPriority w:val="99"/>
    <w:pPr>
      <w:overflowPunct w:val="0"/>
      <w:autoSpaceDE w:val="0"/>
      <w:autoSpaceDN w:val="0"/>
      <w:spacing w:after="0" w:line="240" w:lineRule="auto"/>
    </w:pPr>
    <w:tbl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5E5F4" w:themeFill="accent1" w:themeFillTint="40"/>
      </w:tcPr>
    </w:tblStylePr>
    <w:tblStylePr w:type="band1Horz">
      <w:tcPr>
        <w:shd w:val="clear" w:color="auto" w:fill="D5E5F4" w:themeFill="accent1" w:themeFillTint="40"/>
      </w:tcPr>
    </w:tblStylePr>
    <w:tblStylePr w:type="neCell"/>
    <w:tblStylePr w:type="nwCell"/>
    <w:tblStylePr w:type="seCell"/>
    <w:tblStylePr w:type="swCell"/>
  </w:style>
  <w:style w:type="table" w:customStyle="1" w:styleId="114">
    <w:name w:val="List Table 1 Light - Accent 2"/>
    <w:basedOn w:val="32"/>
    <w:uiPriority w:val="99"/>
    <w:pPr>
      <w:overflowPunct w:val="0"/>
      <w:autoSpaceDE w:val="0"/>
      <w:autoSpaceDN w:val="0"/>
      <w:spacing w:after="0" w:line="240" w:lineRule="auto"/>
    </w:pP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ADECB" w:themeFill="accent2" w:themeFillTint="40"/>
      </w:tcPr>
    </w:tblStylePr>
    <w:tblStylePr w:type="band1Horz">
      <w:tcPr>
        <w:shd w:val="clear" w:color="auto" w:fill="FADECB" w:themeFill="accent2" w:themeFillTint="40"/>
      </w:tcPr>
    </w:tblStylePr>
    <w:tblStylePr w:type="neCell"/>
    <w:tblStylePr w:type="nwCell"/>
    <w:tblStylePr w:type="seCell"/>
    <w:tblStylePr w:type="swCell"/>
  </w:style>
  <w:style w:type="table" w:customStyle="1" w:styleId="115">
    <w:name w:val="List Table 1 Light - Accent 3"/>
    <w:basedOn w:val="32"/>
    <w:uiPriority w:val="99"/>
    <w:pPr>
      <w:overflowPunct w:val="0"/>
      <w:autoSpaceDE w:val="0"/>
      <w:autoSpaceDN w:val="0"/>
      <w:spacing w:after="0" w:line="240" w:lineRule="auto"/>
    </w:pP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8E8E8" w:themeFill="accent3" w:themeFillTint="40"/>
      </w:tcPr>
    </w:tblStylePr>
    <w:tblStylePr w:type="band1Horz">
      <w:tcPr>
        <w:shd w:val="clear" w:color="auto" w:fill="E8E8E8" w:themeFill="accent3" w:themeFillTint="40"/>
      </w:tcPr>
    </w:tblStylePr>
    <w:tblStylePr w:type="neCell"/>
    <w:tblStylePr w:type="nwCell"/>
    <w:tblStylePr w:type="seCell"/>
    <w:tblStylePr w:type="swCell"/>
  </w:style>
  <w:style w:type="table" w:customStyle="1" w:styleId="116">
    <w:name w:val="List Table 1 Light - Accent 4"/>
    <w:basedOn w:val="32"/>
    <w:uiPriority w:val="99"/>
    <w:pPr>
      <w:overflowPunct w:val="0"/>
      <w:autoSpaceDE w:val="0"/>
      <w:autoSpaceDN w:val="0"/>
      <w:spacing w:after="0" w:line="240" w:lineRule="auto"/>
    </w:pP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FEFBE" w:themeFill="accent4" w:themeFillTint="40"/>
      </w:tcPr>
    </w:tblStylePr>
    <w:tblStylePr w:type="band1Horz">
      <w:tcPr>
        <w:shd w:val="clear" w:color="auto" w:fill="FFEFBE" w:themeFill="accent4" w:themeFillTint="40"/>
      </w:tcPr>
    </w:tblStylePr>
    <w:tblStylePr w:type="neCell"/>
    <w:tblStylePr w:type="nwCell"/>
    <w:tblStylePr w:type="seCell"/>
    <w:tblStylePr w:type="swCell"/>
  </w:style>
  <w:style w:type="table" w:customStyle="1" w:styleId="117">
    <w:name w:val="List Table 1 Light - Accent 5"/>
    <w:basedOn w:val="32"/>
    <w:uiPriority w:val="99"/>
    <w:pPr>
      <w:overflowPunct w:val="0"/>
      <w:autoSpaceDE w:val="0"/>
      <w:autoSpaceDN w:val="0"/>
      <w:spacing w:after="0" w:line="240" w:lineRule="auto"/>
    </w:pPr>
    <w:tbl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0DBF0" w:themeFill="accent5" w:themeFillTint="40"/>
      </w:tcPr>
    </w:tblStylePr>
    <w:tblStylePr w:type="band1Horz">
      <w:tcPr>
        <w:shd w:val="clear" w:color="auto" w:fill="D0DBF0" w:themeFill="accent5" w:themeFillTint="40"/>
      </w:tcPr>
    </w:tblStylePr>
    <w:tblStylePr w:type="neCell"/>
    <w:tblStylePr w:type="nwCell"/>
    <w:tblStylePr w:type="seCell"/>
    <w:tblStylePr w:type="swCell"/>
  </w:style>
  <w:style w:type="table" w:customStyle="1" w:styleId="118">
    <w:name w:val="List Table 1 Light - Accent 6"/>
    <w:basedOn w:val="32"/>
    <w:uiPriority w:val="99"/>
    <w:pPr>
      <w:overflowPunct w:val="0"/>
      <w:autoSpaceDE w:val="0"/>
      <w:autoSpaceDN w:val="0"/>
      <w:spacing w:after="0" w:line="240" w:lineRule="auto"/>
    </w:pP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AEBCF" w:themeFill="accent6" w:themeFillTint="40"/>
      </w:tcPr>
    </w:tblStylePr>
    <w:tblStylePr w:type="band1Horz">
      <w:tcPr>
        <w:shd w:val="clear" w:color="auto" w:fill="DAEBCF" w:themeFill="accent6" w:themeFillTint="40"/>
      </w:tcPr>
    </w:tblStylePr>
    <w:tblStylePr w:type="neCell"/>
    <w:tblStylePr w:type="nwCell"/>
    <w:tblStylePr w:type="seCell"/>
    <w:tblStylePr w:type="swCell"/>
  </w:style>
  <w:style w:type="table" w:customStyle="1" w:styleId="119">
    <w:name w:val="List Table 2"/>
    <w:basedOn w:val="32"/>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20">
    <w:name w:val="List Table 2 - Accent 1"/>
    <w:basedOn w:val="32"/>
    <w:uiPriority w:val="99"/>
    <w:pPr>
      <w:overflowPunct w:val="0"/>
      <w:autoSpaceDE w:val="0"/>
      <w:autoSpaceDN w:val="0"/>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5E5F4" w:themeFill="accent1" w:themeFillTint="40"/>
      </w:tcPr>
    </w:tblStylePr>
    <w:tblStylePr w:type="band1Horz">
      <w:rPr>
        <w:rFonts w:ascii="Arial" w:hAnsi="Arial"/>
        <w:color w:val="404040"/>
        <w:sz w:val="22"/>
      </w:rPr>
      <w:tcPr>
        <w:shd w:val="clear" w:color="auto" w:fill="D5E5F4" w:themeFill="accent1" w:themeFillTint="40"/>
      </w:tcPr>
    </w:tblStylePr>
    <w:tblStylePr w:type="neCell"/>
    <w:tblStylePr w:type="nwCell"/>
    <w:tblStylePr w:type="seCell"/>
    <w:tblStylePr w:type="swCell"/>
  </w:style>
  <w:style w:type="table" w:customStyle="1" w:styleId="121">
    <w:name w:val="List Table 2 - Accent 2"/>
    <w:basedOn w:val="32"/>
    <w:uiPriority w:val="99"/>
    <w:pPr>
      <w:overflowPunct w:val="0"/>
      <w:autoSpaceDE w:val="0"/>
      <w:autoSpaceDN w:val="0"/>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tblStylePr w:type="neCell"/>
    <w:tblStylePr w:type="nwCell"/>
    <w:tblStylePr w:type="seCell"/>
    <w:tblStylePr w:type="swCell"/>
  </w:style>
  <w:style w:type="table" w:customStyle="1" w:styleId="122">
    <w:name w:val="List Table 2 - Accent 3"/>
    <w:basedOn w:val="32"/>
    <w:uiPriority w:val="99"/>
    <w:pPr>
      <w:overflowPunct w:val="0"/>
      <w:autoSpaceDE w:val="0"/>
      <w:autoSpaceDN w:val="0"/>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tblStylePr w:type="neCell"/>
    <w:tblStylePr w:type="nwCell"/>
    <w:tblStylePr w:type="seCell"/>
    <w:tblStylePr w:type="swCell"/>
  </w:style>
  <w:style w:type="table" w:customStyle="1" w:styleId="123">
    <w:name w:val="List Table 2 - Accent 4"/>
    <w:basedOn w:val="32"/>
    <w:uiPriority w:val="99"/>
    <w:pPr>
      <w:overflowPunct w:val="0"/>
      <w:autoSpaceDE w:val="0"/>
      <w:autoSpaceDN w:val="0"/>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tblStylePr w:type="neCell"/>
    <w:tblStylePr w:type="nwCell"/>
    <w:tblStylePr w:type="seCell"/>
    <w:tblStylePr w:type="swCell"/>
  </w:style>
  <w:style w:type="table" w:customStyle="1" w:styleId="124">
    <w:name w:val="List Table 2 - Accent 5"/>
    <w:basedOn w:val="32"/>
    <w:uiPriority w:val="99"/>
    <w:pPr>
      <w:overflowPunct w:val="0"/>
      <w:autoSpaceDE w:val="0"/>
      <w:autoSpaceDN w:val="0"/>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0DBF0" w:themeFill="accent5" w:themeFillTint="40"/>
      </w:tcPr>
    </w:tblStylePr>
    <w:tblStylePr w:type="band1Horz">
      <w:rPr>
        <w:rFonts w:ascii="Arial" w:hAnsi="Arial"/>
        <w:color w:val="404040"/>
        <w:sz w:val="22"/>
      </w:rPr>
      <w:tcPr>
        <w:shd w:val="clear" w:color="auto" w:fill="D0DBF0" w:themeFill="accent5" w:themeFillTint="40"/>
      </w:tcPr>
    </w:tblStylePr>
    <w:tblStylePr w:type="neCell"/>
    <w:tblStylePr w:type="nwCell"/>
    <w:tblStylePr w:type="seCell"/>
    <w:tblStylePr w:type="swCell"/>
  </w:style>
  <w:style w:type="table" w:customStyle="1" w:styleId="125">
    <w:name w:val="List Table 2 - Accent 6"/>
    <w:basedOn w:val="32"/>
    <w:uiPriority w:val="99"/>
    <w:pPr>
      <w:overflowPunct w:val="0"/>
      <w:autoSpaceDE w:val="0"/>
      <w:autoSpaceDN w:val="0"/>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tblStylePr w:type="neCell"/>
    <w:tblStylePr w:type="nwCell"/>
    <w:tblStylePr w:type="seCell"/>
    <w:tblStylePr w:type="swCell"/>
  </w:style>
  <w:style w:type="table" w:customStyle="1" w:styleId="126">
    <w:name w:val="List Table 3"/>
    <w:basedOn w:val="32"/>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7">
    <w:name w:val="List Table 3 - Accent 1"/>
    <w:basedOn w:val="32"/>
    <w:uiPriority w:val="99"/>
    <w:pPr>
      <w:overflowPunct w:val="0"/>
      <w:autoSpaceDE w:val="0"/>
      <w:autoSpaceDN w:val="0"/>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2Vert"/>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2Horz"/>
    <w:tblStylePr w:type="neCell"/>
    <w:tblStylePr w:type="nwCell"/>
    <w:tblStylePr w:type="seCell"/>
    <w:tblStylePr w:type="swCell"/>
  </w:style>
  <w:style w:type="table" w:customStyle="1" w:styleId="128">
    <w:name w:val="List Table 3 - Accent 2"/>
    <w:basedOn w:val="32"/>
    <w:uiPriority w:val="99"/>
    <w:pPr>
      <w:overflowPunct w:val="0"/>
      <w:autoSpaceDE w:val="0"/>
      <w:autoSpaceDN w:val="0"/>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auto"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2Vert"/>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tblStylePr w:type="band2Horz"/>
    <w:tblStylePr w:type="neCell"/>
    <w:tblStylePr w:type="nwCell"/>
    <w:tblStylePr w:type="seCell"/>
    <w:tblStylePr w:type="swCell"/>
  </w:style>
  <w:style w:type="table" w:customStyle="1" w:styleId="129">
    <w:name w:val="List Table 3 - Accent 3"/>
    <w:basedOn w:val="32"/>
    <w:uiPriority w:val="99"/>
    <w:pPr>
      <w:overflowPunct w:val="0"/>
      <w:autoSpaceDE w:val="0"/>
      <w:autoSpaceDN w:val="0"/>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2Vert"/>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2Horz"/>
    <w:tblStylePr w:type="neCell"/>
    <w:tblStylePr w:type="nwCell"/>
    <w:tblStylePr w:type="seCell"/>
    <w:tblStylePr w:type="swCell"/>
  </w:style>
  <w:style w:type="table" w:customStyle="1" w:styleId="130">
    <w:name w:val="List Table 3 - Accent 4"/>
    <w:basedOn w:val="32"/>
    <w:uiPriority w:val="99"/>
    <w:pPr>
      <w:overflowPunct w:val="0"/>
      <w:autoSpaceDE w:val="0"/>
      <w:autoSpaceDN w:val="0"/>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auto"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2Vert"/>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tblStylePr w:type="band2Horz"/>
    <w:tblStylePr w:type="neCell"/>
    <w:tblStylePr w:type="nwCell"/>
    <w:tblStylePr w:type="seCell"/>
    <w:tblStylePr w:type="swCell"/>
  </w:style>
  <w:style w:type="table" w:customStyle="1" w:styleId="131">
    <w:name w:val="List Table 3 - Accent 5"/>
    <w:basedOn w:val="32"/>
    <w:uiPriority w:val="99"/>
    <w:pPr>
      <w:overflowPunct w:val="0"/>
      <w:autoSpaceDE w:val="0"/>
      <w:autoSpaceDN w:val="0"/>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auto"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2Vert"/>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tblStylePr w:type="band2Horz"/>
    <w:tblStylePr w:type="neCell"/>
    <w:tblStylePr w:type="nwCell"/>
    <w:tblStylePr w:type="seCell"/>
    <w:tblStylePr w:type="swCell"/>
  </w:style>
  <w:style w:type="table" w:customStyle="1" w:styleId="132">
    <w:name w:val="List Table 3 - Accent 6"/>
    <w:basedOn w:val="32"/>
    <w:uiPriority w:val="99"/>
    <w:pPr>
      <w:overflowPunct w:val="0"/>
      <w:autoSpaceDE w:val="0"/>
      <w:autoSpaceDN w:val="0"/>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2Vert"/>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2Horz"/>
    <w:tblStylePr w:type="neCell"/>
    <w:tblStylePr w:type="nwCell"/>
    <w:tblStylePr w:type="seCell"/>
    <w:tblStylePr w:type="swCell"/>
  </w:style>
  <w:style w:type="table" w:customStyle="1" w:styleId="133">
    <w:name w:val="List Table 4"/>
    <w:basedOn w:val="32"/>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34">
    <w:name w:val="List Table 4 - Accent 1"/>
    <w:basedOn w:val="32"/>
    <w:qFormat/>
    <w:uiPriority w:val="99"/>
    <w:pPr>
      <w:overflowPunct w:val="0"/>
      <w:autoSpaceDE w:val="0"/>
      <w:autoSpaceDN w:val="0"/>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5E5F4" w:themeFill="accent1" w:themeFillTint="40"/>
      </w:tcPr>
    </w:tblStylePr>
    <w:tblStylePr w:type="band1Horz">
      <w:rPr>
        <w:rFonts w:ascii="Arial" w:hAnsi="Arial"/>
        <w:color w:val="404040"/>
        <w:sz w:val="22"/>
      </w:rPr>
      <w:tcPr>
        <w:shd w:val="clear" w:color="auto" w:fill="D5E5F4" w:themeFill="accent1" w:themeFillTint="40"/>
      </w:tcPr>
    </w:tblStylePr>
    <w:tblStylePr w:type="neCell"/>
    <w:tblStylePr w:type="nwCell"/>
    <w:tblStylePr w:type="seCell"/>
    <w:tblStylePr w:type="swCell"/>
  </w:style>
  <w:style w:type="table" w:customStyle="1" w:styleId="135">
    <w:name w:val="List Table 4 - Accent 2"/>
    <w:basedOn w:val="32"/>
    <w:qFormat/>
    <w:uiPriority w:val="99"/>
    <w:pPr>
      <w:overflowPunct w:val="0"/>
      <w:autoSpaceDE w:val="0"/>
      <w:autoSpaceDN w:val="0"/>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tblStylePr w:type="neCell"/>
    <w:tblStylePr w:type="nwCell"/>
    <w:tblStylePr w:type="seCell"/>
    <w:tblStylePr w:type="swCell"/>
  </w:style>
  <w:style w:type="table" w:customStyle="1" w:styleId="136">
    <w:name w:val="List Table 4 - Accent 3"/>
    <w:basedOn w:val="32"/>
    <w:uiPriority w:val="99"/>
    <w:pPr>
      <w:overflowPunct w:val="0"/>
      <w:autoSpaceDE w:val="0"/>
      <w:autoSpaceDN w:val="0"/>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tblStylePr w:type="neCell"/>
    <w:tblStylePr w:type="nwCell"/>
    <w:tblStylePr w:type="seCell"/>
    <w:tblStylePr w:type="swCell"/>
  </w:style>
  <w:style w:type="table" w:customStyle="1" w:styleId="137">
    <w:name w:val="List Table 4 - Accent 4"/>
    <w:basedOn w:val="32"/>
    <w:uiPriority w:val="99"/>
    <w:pPr>
      <w:overflowPunct w:val="0"/>
      <w:autoSpaceDE w:val="0"/>
      <w:autoSpaceDN w:val="0"/>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tblStylePr w:type="neCell"/>
    <w:tblStylePr w:type="nwCell"/>
    <w:tblStylePr w:type="seCell"/>
    <w:tblStylePr w:type="swCell"/>
  </w:style>
  <w:style w:type="table" w:customStyle="1" w:styleId="138">
    <w:name w:val="List Table 4 - Accent 5"/>
    <w:basedOn w:val="32"/>
    <w:uiPriority w:val="99"/>
    <w:pPr>
      <w:overflowPunct w:val="0"/>
      <w:autoSpaceDE w:val="0"/>
      <w:autoSpaceDN w:val="0"/>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0DBF0" w:themeFill="accent5" w:themeFillTint="40"/>
      </w:tcPr>
    </w:tblStylePr>
    <w:tblStylePr w:type="band1Horz">
      <w:rPr>
        <w:rFonts w:ascii="Arial" w:hAnsi="Arial"/>
        <w:color w:val="404040"/>
        <w:sz w:val="22"/>
      </w:rPr>
      <w:tcPr>
        <w:shd w:val="clear" w:color="auto" w:fill="D0DBF0" w:themeFill="accent5" w:themeFillTint="40"/>
      </w:tcPr>
    </w:tblStylePr>
    <w:tblStylePr w:type="neCell"/>
    <w:tblStylePr w:type="nwCell"/>
    <w:tblStylePr w:type="seCell"/>
    <w:tblStylePr w:type="swCell"/>
  </w:style>
  <w:style w:type="table" w:customStyle="1" w:styleId="139">
    <w:name w:val="List Table 4 - Accent 6"/>
    <w:basedOn w:val="32"/>
    <w:uiPriority w:val="99"/>
    <w:pPr>
      <w:overflowPunct w:val="0"/>
      <w:autoSpaceDE w:val="0"/>
      <w:autoSpaceDN w:val="0"/>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tblStylePr w:type="neCell"/>
    <w:tblStylePr w:type="nwCell"/>
    <w:tblStylePr w:type="seCell"/>
    <w:tblStylePr w:type="swCell"/>
  </w:style>
  <w:style w:type="table" w:customStyle="1" w:styleId="140">
    <w:name w:val="List Table 5 Dark"/>
    <w:basedOn w:val="32"/>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41">
    <w:name w:val="List Table 5 Dark - Accent 1"/>
    <w:basedOn w:val="32"/>
    <w:qFormat/>
    <w:uiPriority w:val="99"/>
    <w:pPr>
      <w:overflowPunct w:val="0"/>
      <w:autoSpaceDE w:val="0"/>
      <w:autoSpaceDN w:val="0"/>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auto"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auto"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5B9BD5" w:themeFill="accent1"/>
      </w:tcPr>
    </w:tblStylePr>
    <w:tblStylePr w:type="band2Horz">
      <w:tcPr>
        <w:tcBorders>
          <w:top w:val="single" w:color="FFFFFF" w:themeColor="light1" w:sz="4" w:space="0"/>
          <w:bottom w:val="single" w:color="FFFFFF" w:themeColor="light1" w:sz="4" w:space="0"/>
        </w:tcBorders>
        <w:shd w:val="clear" w:color="auto" w:fill="5B9BD5" w:themeFill="accent1"/>
      </w:tcPr>
    </w:tblStylePr>
    <w:tblStylePr w:type="neCell"/>
    <w:tblStylePr w:type="nwCell"/>
    <w:tblStylePr w:type="seCell"/>
    <w:tblStylePr w:type="swCell"/>
  </w:style>
  <w:style w:type="table" w:customStyle="1" w:styleId="142">
    <w:name w:val="List Table 5 Dark - Accent 2"/>
    <w:basedOn w:val="32"/>
    <w:uiPriority w:val="99"/>
    <w:pPr>
      <w:overflowPunct w:val="0"/>
      <w:autoSpaceDE w:val="0"/>
      <w:autoSpaceDN w:val="0"/>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auto"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4B285" w:themeFill="accent2" w:themeFillTint="97"/>
      </w:tcPr>
    </w:tblStylePr>
    <w:tblStylePr w:type="band2Horz">
      <w:tcPr>
        <w:tcBorders>
          <w:top w:val="single" w:color="FFFFFF" w:themeColor="light1" w:sz="4" w:space="0"/>
          <w:bottom w:val="single" w:color="FFFFFF" w:themeColor="light1" w:sz="4" w:space="0"/>
        </w:tcBorders>
        <w:shd w:val="clear" w:color="auto" w:fill="F4B285" w:themeFill="accent2" w:themeFillTint="97"/>
      </w:tcPr>
    </w:tblStylePr>
    <w:tblStylePr w:type="neCell"/>
    <w:tblStylePr w:type="nwCell"/>
    <w:tblStylePr w:type="seCell"/>
    <w:tblStylePr w:type="swCell"/>
  </w:style>
  <w:style w:type="table" w:customStyle="1" w:styleId="143">
    <w:name w:val="List Table 5 Dark - Accent 3"/>
    <w:basedOn w:val="32"/>
    <w:uiPriority w:val="99"/>
    <w:pPr>
      <w:overflowPunct w:val="0"/>
      <w:autoSpaceDE w:val="0"/>
      <w:autoSpaceDN w:val="0"/>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auto"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9C9C9" w:themeFill="accent3" w:themeFillTint="98"/>
      </w:tcPr>
    </w:tblStylePr>
    <w:tblStylePr w:type="band2Horz">
      <w:tcPr>
        <w:tcBorders>
          <w:top w:val="single" w:color="FFFFFF" w:themeColor="light1" w:sz="4" w:space="0"/>
          <w:bottom w:val="single" w:color="FFFFFF" w:themeColor="light1" w:sz="4" w:space="0"/>
        </w:tcBorders>
        <w:shd w:val="clear" w:color="auto" w:fill="C9C9C9" w:themeFill="accent3" w:themeFillTint="98"/>
      </w:tcPr>
    </w:tblStylePr>
    <w:tblStylePr w:type="neCell"/>
    <w:tblStylePr w:type="nwCell"/>
    <w:tblStylePr w:type="seCell"/>
    <w:tblStylePr w:type="swCell"/>
  </w:style>
  <w:style w:type="table" w:customStyle="1" w:styleId="144">
    <w:name w:val="List Table 5 Dark - Accent 4"/>
    <w:basedOn w:val="32"/>
    <w:uiPriority w:val="99"/>
    <w:pPr>
      <w:overflowPunct w:val="0"/>
      <w:autoSpaceDE w:val="0"/>
      <w:autoSpaceDN w:val="0"/>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auto"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FD864" w:themeFill="accent4" w:themeFillTint="9A"/>
      </w:tcPr>
    </w:tblStylePr>
    <w:tblStylePr w:type="band2Horz">
      <w:tcPr>
        <w:tcBorders>
          <w:top w:val="single" w:color="FFFFFF" w:themeColor="light1" w:sz="4" w:space="0"/>
          <w:bottom w:val="single" w:color="FFFFFF" w:themeColor="light1" w:sz="4" w:space="0"/>
        </w:tcBorders>
        <w:shd w:val="clear" w:color="auto" w:fill="FFD864" w:themeFill="accent4" w:themeFillTint="9A"/>
      </w:tcPr>
    </w:tblStylePr>
    <w:tblStylePr w:type="neCell"/>
    <w:tblStylePr w:type="nwCell"/>
    <w:tblStylePr w:type="seCell"/>
    <w:tblStylePr w:type="swCell"/>
  </w:style>
  <w:style w:type="table" w:customStyle="1" w:styleId="145">
    <w:name w:val="List Table 5 Dark - Accent 5"/>
    <w:basedOn w:val="32"/>
    <w:uiPriority w:val="99"/>
    <w:pPr>
      <w:overflowPunct w:val="0"/>
      <w:autoSpaceDE w:val="0"/>
      <w:autoSpaceDN w:val="0"/>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auto"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8EA9DB" w:themeFill="accent5" w:themeFillTint="9A"/>
      </w:tcPr>
    </w:tblStylePr>
    <w:tblStylePr w:type="band2Horz">
      <w:tcPr>
        <w:tcBorders>
          <w:top w:val="single" w:color="FFFFFF" w:themeColor="light1" w:sz="4" w:space="0"/>
          <w:bottom w:val="single" w:color="FFFFFF" w:themeColor="light1" w:sz="4" w:space="0"/>
        </w:tcBorders>
        <w:shd w:val="clear" w:color="auto" w:fill="8EA9DB" w:themeFill="accent5" w:themeFillTint="9A"/>
      </w:tcPr>
    </w:tblStylePr>
    <w:tblStylePr w:type="neCell"/>
    <w:tblStylePr w:type="nwCell"/>
    <w:tblStylePr w:type="seCell"/>
    <w:tblStylePr w:type="swCell"/>
  </w:style>
  <w:style w:type="table" w:customStyle="1" w:styleId="146">
    <w:name w:val="List Table 5 Dark - Accent 6"/>
    <w:basedOn w:val="32"/>
    <w:uiPriority w:val="99"/>
    <w:pPr>
      <w:overflowPunct w:val="0"/>
      <w:autoSpaceDE w:val="0"/>
      <w:autoSpaceDN w:val="0"/>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uto"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A9D08E" w:themeFill="accent6" w:themeFillTint="98"/>
      </w:tcPr>
    </w:tblStylePr>
    <w:tblStylePr w:type="band2Horz">
      <w:tcPr>
        <w:tcBorders>
          <w:top w:val="single" w:color="FFFFFF" w:themeColor="light1" w:sz="4" w:space="0"/>
          <w:bottom w:val="single" w:color="FFFFFF" w:themeColor="light1" w:sz="4" w:space="0"/>
        </w:tcBorders>
        <w:shd w:val="clear" w:color="auto" w:fill="A9D08E" w:themeFill="accent6" w:themeFillTint="98"/>
      </w:tcPr>
    </w:tblStylePr>
    <w:tblStylePr w:type="neCell"/>
    <w:tblStylePr w:type="nwCell"/>
    <w:tblStylePr w:type="seCell"/>
    <w:tblStylePr w:type="swCell"/>
  </w:style>
  <w:style w:type="table" w:customStyle="1" w:styleId="147">
    <w:name w:val="List Table 6 Colorful"/>
    <w:basedOn w:val="32"/>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8">
    <w:name w:val="List Table 6 Colorful - Accent 1"/>
    <w:basedOn w:val="32"/>
    <w:qFormat/>
    <w:uiPriority w:val="99"/>
    <w:pPr>
      <w:overflowPunct w:val="0"/>
      <w:autoSpaceDE w:val="0"/>
      <w:autoSpaceDN w:val="0"/>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auto" w:fill="D5E5F4" w:themeFill="accent1" w:themeFillTint="40"/>
      </w:tcPr>
    </w:tblStylePr>
    <w:tblStylePr w:type="band2Vert"/>
    <w:tblStylePr w:type="band1Horz">
      <w:rPr>
        <w:rFonts w:ascii="Arial" w:hAnsi="Arial"/>
        <w:color w:val="245B8C" w:themeColor="accent1" w:themeShade="94"/>
        <w:sz w:val="22"/>
      </w:rPr>
      <w:tcPr>
        <w:shd w:val="clear" w:color="auto"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49">
    <w:name w:val="List Table 6 Colorful - Accent 2"/>
    <w:basedOn w:val="32"/>
    <w:qFormat/>
    <w:uiPriority w:val="99"/>
    <w:pPr>
      <w:overflowPunct w:val="0"/>
      <w:autoSpaceDE w:val="0"/>
      <w:autoSpaceDN w:val="0"/>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0">
    <w:name w:val="List Table 6 Colorful - Accent 3"/>
    <w:basedOn w:val="32"/>
    <w:qFormat/>
    <w:uiPriority w:val="99"/>
    <w:pPr>
      <w:overflowPunct w:val="0"/>
      <w:autoSpaceDE w:val="0"/>
      <w:autoSpaceDN w:val="0"/>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auto"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1">
    <w:name w:val="List Table 6 Colorful - Accent 4"/>
    <w:basedOn w:val="32"/>
    <w:uiPriority w:val="99"/>
    <w:pPr>
      <w:overflowPunct w:val="0"/>
      <w:autoSpaceDE w:val="0"/>
      <w:autoSpaceDN w:val="0"/>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2">
    <w:name w:val="List Table 6 Colorful - Accent 5"/>
    <w:basedOn w:val="32"/>
    <w:uiPriority w:val="99"/>
    <w:pPr>
      <w:overflowPunct w:val="0"/>
      <w:autoSpaceDE w:val="0"/>
      <w:autoSpaceDN w:val="0"/>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auto"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auto"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3">
    <w:name w:val="List Table 6 Colorful - Accent 6"/>
    <w:basedOn w:val="32"/>
    <w:qFormat/>
    <w:uiPriority w:val="99"/>
    <w:pPr>
      <w:overflowPunct w:val="0"/>
      <w:autoSpaceDE w:val="0"/>
      <w:autoSpaceDN w:val="0"/>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auto"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4">
    <w:name w:val="List Table 7 Colorful"/>
    <w:basedOn w:val="32"/>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5">
    <w:name w:val="List Table 7 Colorful - Accent 1"/>
    <w:basedOn w:val="32"/>
    <w:uiPriority w:val="99"/>
    <w:pPr>
      <w:overflowPunct w:val="0"/>
      <w:autoSpaceDE w:val="0"/>
      <w:autoSpaceDN w:val="0"/>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auto"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auto"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auto" w:fill="auto"/>
      </w:tcPr>
    </w:tblStylePr>
    <w:tblStylePr w:type="band1Vert">
      <w:tcPr>
        <w:shd w:val="clear" w:color="auto" w:fill="D5E5F4" w:themeFill="accent1" w:themeFillTint="40"/>
      </w:tcPr>
    </w:tblStylePr>
    <w:tblStylePr w:type="band2Vert"/>
    <w:tblStylePr w:type="band1Horz">
      <w:rPr>
        <w:rFonts w:ascii="Arial" w:hAnsi="Arial"/>
        <w:color w:val="245B8C" w:themeColor="accent1" w:themeShade="94"/>
        <w:sz w:val="22"/>
      </w:rPr>
      <w:tcPr>
        <w:shd w:val="clear" w:color="auto"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56">
    <w:name w:val="List Table 7 Colorful - Accent 2"/>
    <w:basedOn w:val="32"/>
    <w:qFormat/>
    <w:uiPriority w:val="99"/>
    <w:pPr>
      <w:overflowPunct w:val="0"/>
      <w:autoSpaceDE w:val="0"/>
      <w:autoSpaceDN w:val="0"/>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auto"/>
      </w:tcPr>
    </w:tblStylePr>
    <w:tblStylePr w:type="band1Vert">
      <w:tcPr>
        <w:shd w:val="clear" w:color="auto"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7">
    <w:name w:val="List Table 7 Colorful - Accent 3"/>
    <w:basedOn w:val="32"/>
    <w:qFormat/>
    <w:uiPriority w:val="99"/>
    <w:pPr>
      <w:overflowPunct w:val="0"/>
      <w:autoSpaceDE w:val="0"/>
      <w:autoSpaceDN w:val="0"/>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auto"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auto"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auto" w:fill="auto"/>
      </w:tcPr>
    </w:tblStylePr>
    <w:tblStylePr w:type="band1Vert">
      <w:tcPr>
        <w:shd w:val="clear" w:color="auto"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8">
    <w:name w:val="List Table 7 Colorful - Accent 4"/>
    <w:basedOn w:val="32"/>
    <w:qFormat/>
    <w:uiPriority w:val="99"/>
    <w:pPr>
      <w:overflowPunct w:val="0"/>
      <w:autoSpaceDE w:val="0"/>
      <w:autoSpaceDN w:val="0"/>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auto"/>
      </w:tcPr>
    </w:tblStylePr>
    <w:tblStylePr w:type="band1Vert">
      <w:tcPr>
        <w:shd w:val="clear" w:color="auto"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9">
    <w:name w:val="List Table 7 Colorful - Accent 5"/>
    <w:basedOn w:val="32"/>
    <w:qFormat/>
    <w:uiPriority w:val="99"/>
    <w:pPr>
      <w:overflowPunct w:val="0"/>
      <w:autoSpaceDE w:val="0"/>
      <w:autoSpaceDN w:val="0"/>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auto"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auto"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auto" w:fill="auto"/>
      </w:tcPr>
    </w:tblStylePr>
    <w:tblStylePr w:type="band1Vert">
      <w:tcPr>
        <w:shd w:val="clear" w:color="auto"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auto"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0">
    <w:name w:val="List Table 7 Colorful - Accent 6"/>
    <w:basedOn w:val="32"/>
    <w:qFormat/>
    <w:uiPriority w:val="99"/>
    <w:pPr>
      <w:overflowPunct w:val="0"/>
      <w:autoSpaceDE w:val="0"/>
      <w:autoSpaceDN w:val="0"/>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auto"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auto"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auto" w:fill="auto"/>
      </w:tcPr>
    </w:tblStylePr>
    <w:tblStylePr w:type="band1Vert">
      <w:tcPr>
        <w:shd w:val="clear" w:color="auto"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1">
    <w:name w:val="Lined - Accent"/>
    <w:basedOn w:val="32"/>
    <w:uiPriority w:val="99"/>
    <w:pPr>
      <w:overflowPunct w:val="0"/>
      <w:autoSpaceDE w:val="0"/>
      <w:autoSpaceDN w:val="0"/>
      <w:spacing w:after="0" w:line="240" w:lineRule="auto"/>
    </w:pPr>
    <w:rPr>
      <w:color w:val="404040"/>
    </w:rPr>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2">
    <w:name w:val="Lined - Accent 1"/>
    <w:basedOn w:val="32"/>
    <w:uiPriority w:val="99"/>
    <w:pPr>
      <w:overflowPunct w:val="0"/>
      <w:autoSpaceDE w:val="0"/>
      <w:autoSpaceDN w:val="0"/>
      <w:spacing w:after="0" w:line="240" w:lineRule="auto"/>
    </w:pPr>
    <w:rPr>
      <w:color w:val="404040"/>
    </w:rPr>
    <w:tblPr/>
    <w:tblStylePr w:type="firstRow">
      <w:rPr>
        <w:rFonts w:ascii="Arial" w:hAnsi="Arial"/>
        <w:color w:val="F2F2F2"/>
        <w:sz w:val="22"/>
      </w:rPr>
      <w:tcPr>
        <w:shd w:val="clear" w:color="auto" w:fill="68A3D8" w:themeFill="accent1" w:themeFillTint="EA"/>
      </w:tcPr>
    </w:tblStylePr>
    <w:tblStylePr w:type="lastRow">
      <w:rPr>
        <w:rFonts w:ascii="Arial" w:hAnsi="Arial"/>
        <w:color w:val="F2F2F2"/>
        <w:sz w:val="22"/>
      </w:rPr>
      <w:tcPr>
        <w:shd w:val="clear" w:color="auto" w:fill="68A3D8" w:themeFill="accent1" w:themeFillTint="EA"/>
      </w:tcPr>
    </w:tblStylePr>
    <w:tblStylePr w:type="firstCol">
      <w:rPr>
        <w:rFonts w:ascii="Arial" w:hAnsi="Arial"/>
        <w:color w:val="F2F2F2"/>
        <w:sz w:val="22"/>
      </w:rPr>
      <w:tcPr>
        <w:shd w:val="clear" w:color="auto" w:fill="68A3D8" w:themeFill="accent1" w:themeFillTint="EA"/>
      </w:tcPr>
    </w:tblStylePr>
    <w:tblStylePr w:type="lastCol">
      <w:rPr>
        <w:rFonts w:ascii="Arial" w:hAnsi="Arial"/>
        <w:color w:val="F2F2F2"/>
        <w:sz w:val="22"/>
      </w:rPr>
      <w:tcPr>
        <w:shd w:val="clear" w:color="auto"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BDFF1" w:themeFill="accent1" w:themeFillTint="50"/>
      </w:tcPr>
    </w:tblStylePr>
  </w:style>
  <w:style w:type="table" w:customStyle="1" w:styleId="163">
    <w:name w:val="Lined - Accent 2"/>
    <w:basedOn w:val="32"/>
    <w:uiPriority w:val="99"/>
    <w:pPr>
      <w:overflowPunct w:val="0"/>
      <w:autoSpaceDE w:val="0"/>
      <w:autoSpaceDN w:val="0"/>
      <w:spacing w:after="0" w:line="240" w:lineRule="auto"/>
    </w:pPr>
    <w:rPr>
      <w:color w:val="404040"/>
    </w:rPr>
    <w:tbl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64">
    <w:name w:val="Lined - Accent 3"/>
    <w:basedOn w:val="32"/>
    <w:uiPriority w:val="99"/>
    <w:pPr>
      <w:overflowPunct w:val="0"/>
      <w:autoSpaceDE w:val="0"/>
      <w:autoSpaceDN w:val="0"/>
      <w:spacing w:after="0" w:line="240" w:lineRule="auto"/>
    </w:pPr>
    <w:rPr>
      <w:color w:val="404040"/>
    </w:rPr>
    <w:tbl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65">
    <w:name w:val="Lined - Accent 4"/>
    <w:basedOn w:val="32"/>
    <w:uiPriority w:val="99"/>
    <w:pPr>
      <w:overflowPunct w:val="0"/>
      <w:autoSpaceDE w:val="0"/>
      <w:autoSpaceDN w:val="0"/>
      <w:spacing w:after="0" w:line="240" w:lineRule="auto"/>
    </w:pPr>
    <w:rPr>
      <w:color w:val="404040"/>
    </w:rPr>
    <w:tbl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66">
    <w:name w:val="Lined - Accent 5"/>
    <w:basedOn w:val="32"/>
    <w:uiPriority w:val="99"/>
    <w:pPr>
      <w:overflowPunct w:val="0"/>
      <w:autoSpaceDE w:val="0"/>
      <w:autoSpaceDN w:val="0"/>
      <w:spacing w:after="0" w:line="240" w:lineRule="auto"/>
    </w:pPr>
    <w:rPr>
      <w:color w:val="404040"/>
    </w:rPr>
    <w:tblPr/>
    <w:tblStylePr w:type="firstRow">
      <w:rPr>
        <w:rFonts w:ascii="Arial" w:hAnsi="Arial"/>
        <w:color w:val="F2F2F2"/>
        <w:sz w:val="22"/>
      </w:rPr>
      <w:tcPr>
        <w:shd w:val="clear" w:color="auto" w:fill="4472C4" w:themeFill="accent5"/>
      </w:tcPr>
    </w:tblStylePr>
    <w:tblStylePr w:type="lastRow">
      <w:rPr>
        <w:rFonts w:ascii="Arial" w:hAnsi="Arial"/>
        <w:color w:val="F2F2F2"/>
        <w:sz w:val="22"/>
      </w:rPr>
      <w:tcPr>
        <w:shd w:val="clear" w:color="auto" w:fill="4472C4" w:themeFill="accent5"/>
      </w:tcPr>
    </w:tblStylePr>
    <w:tblStylePr w:type="firstCol">
      <w:rPr>
        <w:rFonts w:ascii="Arial" w:hAnsi="Arial"/>
        <w:color w:val="F2F2F2"/>
        <w:sz w:val="22"/>
      </w:rPr>
      <w:tcPr>
        <w:shd w:val="clear" w:color="auto" w:fill="4472C4" w:themeFill="accent5"/>
      </w:tcPr>
    </w:tblStylePr>
    <w:tblStylePr w:type="lastCol">
      <w:rPr>
        <w:rFonts w:ascii="Arial" w:hAnsi="Arial"/>
        <w:color w:val="F2F2F2"/>
        <w:sz w:val="22"/>
      </w:r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8E2F2" w:themeFill="accent5" w:themeFillTint="34"/>
      </w:tcPr>
    </w:tblStylePr>
    <w:tblStylePr w:type="neCell"/>
    <w:tblStylePr w:type="nwCell"/>
    <w:tblStylePr w:type="seCell"/>
    <w:tblStylePr w:type="swCell"/>
  </w:style>
  <w:style w:type="table" w:customStyle="1" w:styleId="167">
    <w:name w:val="Lined - Accent 6"/>
    <w:basedOn w:val="32"/>
    <w:uiPriority w:val="99"/>
    <w:pPr>
      <w:overflowPunct w:val="0"/>
      <w:autoSpaceDE w:val="0"/>
      <w:autoSpaceDN w:val="0"/>
      <w:spacing w:after="0" w:line="240" w:lineRule="auto"/>
    </w:pPr>
    <w:rPr>
      <w:color w:val="404040"/>
    </w:rPr>
    <w:tbl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168">
    <w:name w:val="Bordered &amp; Lined - Accent"/>
    <w:basedOn w:val="32"/>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9">
    <w:name w:val="Bordered &amp; Lined - Accent 1"/>
    <w:basedOn w:val="32"/>
    <w:uiPriority w:val="99"/>
    <w:pPr>
      <w:overflowPunct w:val="0"/>
      <w:autoSpaceDE w:val="0"/>
      <w:autoSpaceDN w:val="0"/>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auto" w:fill="68A3D8" w:themeFill="accent1" w:themeFillTint="EA"/>
      </w:tcPr>
    </w:tblStylePr>
    <w:tblStylePr w:type="lastRow">
      <w:rPr>
        <w:rFonts w:ascii="Arial" w:hAnsi="Arial"/>
        <w:color w:val="F2F2F2"/>
        <w:sz w:val="22"/>
      </w:rPr>
      <w:tcPr>
        <w:shd w:val="clear" w:color="auto" w:fill="68A3D8" w:themeFill="accent1" w:themeFillTint="EA"/>
      </w:tcPr>
    </w:tblStylePr>
    <w:tblStylePr w:type="firstCol">
      <w:rPr>
        <w:rFonts w:ascii="Arial" w:hAnsi="Arial"/>
        <w:color w:val="F2F2F2"/>
        <w:sz w:val="22"/>
      </w:rPr>
      <w:tcPr>
        <w:shd w:val="clear" w:color="auto" w:fill="68A3D8" w:themeFill="accent1" w:themeFillTint="EA"/>
      </w:tcPr>
    </w:tblStylePr>
    <w:tblStylePr w:type="lastCol">
      <w:rPr>
        <w:rFonts w:ascii="Arial" w:hAnsi="Arial"/>
        <w:color w:val="F2F2F2"/>
        <w:sz w:val="22"/>
      </w:rPr>
      <w:tcPr>
        <w:shd w:val="clear" w:color="auto"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BDFF1" w:themeFill="accent1" w:themeFillTint="50"/>
      </w:tcPr>
    </w:tblStylePr>
  </w:style>
  <w:style w:type="table" w:customStyle="1" w:styleId="170">
    <w:name w:val="Bordered &amp; Lined - Accent 2"/>
    <w:basedOn w:val="32"/>
    <w:uiPriority w:val="99"/>
    <w:pPr>
      <w:overflowPunct w:val="0"/>
      <w:autoSpaceDE w:val="0"/>
      <w:autoSpaceDN w:val="0"/>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71">
    <w:name w:val="Bordered &amp; Lined - Accent 3"/>
    <w:basedOn w:val="32"/>
    <w:uiPriority w:val="99"/>
    <w:pPr>
      <w:overflowPunct w:val="0"/>
      <w:autoSpaceDE w:val="0"/>
      <w:autoSpaceDN w:val="0"/>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72">
    <w:name w:val="Bordered &amp; Lined - Accent 4"/>
    <w:basedOn w:val="32"/>
    <w:uiPriority w:val="99"/>
    <w:pPr>
      <w:overflowPunct w:val="0"/>
      <w:autoSpaceDE w:val="0"/>
      <w:autoSpaceDN w:val="0"/>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73">
    <w:name w:val="Bordered &amp; Lined - Accent 5"/>
    <w:basedOn w:val="32"/>
    <w:uiPriority w:val="99"/>
    <w:pPr>
      <w:overflowPunct w:val="0"/>
      <w:autoSpaceDE w:val="0"/>
      <w:autoSpaceDN w:val="0"/>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auto" w:fill="4472C4" w:themeFill="accent5"/>
      </w:tcPr>
    </w:tblStylePr>
    <w:tblStylePr w:type="lastRow">
      <w:rPr>
        <w:rFonts w:ascii="Arial" w:hAnsi="Arial"/>
        <w:color w:val="F2F2F2"/>
        <w:sz w:val="22"/>
      </w:rPr>
      <w:tcPr>
        <w:shd w:val="clear" w:color="auto" w:fill="4472C4" w:themeFill="accent5"/>
      </w:tcPr>
    </w:tblStylePr>
    <w:tblStylePr w:type="firstCol">
      <w:rPr>
        <w:rFonts w:ascii="Arial" w:hAnsi="Arial"/>
        <w:color w:val="F2F2F2"/>
        <w:sz w:val="22"/>
      </w:rPr>
      <w:tcPr>
        <w:shd w:val="clear" w:color="auto" w:fill="4472C4" w:themeFill="accent5"/>
      </w:tcPr>
    </w:tblStylePr>
    <w:tblStylePr w:type="lastCol">
      <w:rPr>
        <w:rFonts w:ascii="Arial" w:hAnsi="Arial"/>
        <w:color w:val="F2F2F2"/>
        <w:sz w:val="22"/>
      </w:r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8E2F2" w:themeFill="accent5" w:themeFillTint="34"/>
      </w:tcPr>
    </w:tblStylePr>
    <w:tblStylePr w:type="neCell"/>
    <w:tblStylePr w:type="nwCell"/>
    <w:tblStylePr w:type="seCell"/>
    <w:tblStylePr w:type="swCell"/>
  </w:style>
  <w:style w:type="table" w:customStyle="1" w:styleId="174">
    <w:name w:val="Bordered &amp; Lined - Accent 6"/>
    <w:basedOn w:val="32"/>
    <w:uiPriority w:val="99"/>
    <w:pPr>
      <w:overflowPunct w:val="0"/>
      <w:autoSpaceDE w:val="0"/>
      <w:autoSpaceDN w:val="0"/>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175">
    <w:name w:val="Bordered"/>
    <w:basedOn w:val="32"/>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6">
    <w:name w:val="Bordered - Accent 1"/>
    <w:basedOn w:val="32"/>
    <w:uiPriority w:val="99"/>
    <w:pPr>
      <w:overflowPunct w:val="0"/>
      <w:autoSpaceDE w:val="0"/>
      <w:autoSpaceDN w:val="0"/>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177">
    <w:name w:val="Bordered - Accent 2"/>
    <w:basedOn w:val="32"/>
    <w:qFormat/>
    <w:uiPriority w:val="99"/>
    <w:pPr>
      <w:overflowPunct w:val="0"/>
      <w:autoSpaceDE w:val="0"/>
      <w:autoSpaceDN w:val="0"/>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178">
    <w:name w:val="Bordered - Accent 3"/>
    <w:basedOn w:val="32"/>
    <w:uiPriority w:val="99"/>
    <w:pPr>
      <w:overflowPunct w:val="0"/>
      <w:autoSpaceDE w:val="0"/>
      <w:autoSpaceDN w:val="0"/>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179">
    <w:name w:val="Bordered - Accent 4"/>
    <w:basedOn w:val="32"/>
    <w:uiPriority w:val="99"/>
    <w:pPr>
      <w:overflowPunct w:val="0"/>
      <w:autoSpaceDE w:val="0"/>
      <w:autoSpaceDN w:val="0"/>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180">
    <w:name w:val="Bordered - Accent 5"/>
    <w:basedOn w:val="32"/>
    <w:uiPriority w:val="99"/>
    <w:pPr>
      <w:overflowPunct w:val="0"/>
      <w:autoSpaceDE w:val="0"/>
      <w:autoSpaceDN w:val="0"/>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181">
    <w:name w:val="Bordered - Accent 6"/>
    <w:basedOn w:val="32"/>
    <w:uiPriority w:val="99"/>
    <w:pPr>
      <w:overflowPunct w:val="0"/>
      <w:autoSpaceDE w:val="0"/>
      <w:autoSpaceDN w:val="0"/>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character" w:customStyle="1" w:styleId="182">
    <w:name w:val="Footnote Text Char"/>
    <w:link w:val="26"/>
    <w:uiPriority w:val="99"/>
    <w:rPr>
      <w:sz w:val="18"/>
    </w:rPr>
  </w:style>
  <w:style w:type="paragraph" w:customStyle="1" w:styleId="183">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paragraph" w:customStyle="1" w:styleId="184">
    <w:name w:val="正文_2"/>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420"/>
      <w:jc w:val="both"/>
    </w:pPr>
    <w:rPr>
      <w:rFonts w:hint="default" w:ascii="Calibri" w:hAnsi="Calibri" w:eastAsia="宋体" w:cs="Times New Roman"/>
      <w:color w:val="auto"/>
      <w:spacing w:val="0"/>
      <w:kern w:val="2"/>
      <w:position w:val="0"/>
      <w:sz w:val="21"/>
      <w:szCs w:val="22"/>
      <w:lang w:val="en-US" w:eastAsia="zh-CN" w:bidi="ar-SA"/>
    </w:rPr>
  </w:style>
  <w:style w:type="paragraph" w:customStyle="1" w:styleId="185">
    <w:name w:val="标题5"/>
    <w:basedOn w:val="8"/>
    <w:qFormat/>
    <w:uiPriority w:val="0"/>
  </w:style>
  <w:style w:type="character" w:customStyle="1" w:styleId="186">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6148</Words>
  <Characters>6185</Characters>
  <TotalTime>0</TotalTime>
  <ScaleCrop>false</ScaleCrop>
  <LinksUpToDate>false</LinksUpToDate>
  <CharactersWithSpaces>6223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2020-12-30T08:57:00Z</dcterms:created>
  <dc:creator>雷伟珍</dc:creator>
  <cp:lastModifiedBy>翟富超</cp:lastModifiedBy>
  <dcterms:modified xsi:type="dcterms:W3CDTF">2026-01-04T06:45:49Z</dcterms:modified>
  <dc:title>关于《深圳经济特区道路交通安全管理条例修正案（草案）》公开征求意见的公告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eyJoZGlkIjoiNzlmODlmNDMwYzg2OWE0ODZkNWIzZTJkZjc2YjQ1YWYiLCJ1c2VySWQiOiIxNzYzNzEzNjY0In0=</vt:lpwstr>
  </property>
  <property fmtid="{D5CDD505-2E9C-101B-9397-08002B2CF9AE}" pid="3" name="KSOProductBuildVer">
    <vt:lpwstr>2052-12.1.0.24034</vt:lpwstr>
  </property>
  <property fmtid="{D5CDD505-2E9C-101B-9397-08002B2CF9AE}" pid="4" name="ICV">
    <vt:lpwstr>2518238DC2C94DAF852C444A7EA5EF96_12</vt:lpwstr>
  </property>
</Properties>
</file>