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pacing w:line="578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附件1 </w:t>
      </w:r>
    </w:p>
    <w:p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52"/>
          <w:lang w:val="en-US" w:eastAsia="zh-CN" w:bidi="ar-SA"/>
        </w:rPr>
        <w:t>关于《深圳经济特区塘朗山梅林山银湖山保护与利用若干规定（草案）》的说明</w:t>
      </w:r>
    </w:p>
    <w:p>
      <w:pPr>
        <w:keepNext w:val="0"/>
        <w:keepLines w:val="0"/>
        <w:pageBreakBefore w:val="0"/>
        <w:widowControl w:val="0"/>
        <w:spacing w:line="560" w:lineRule="exact"/>
        <w:ind w:firstLine="630" w:firstLineChars="300"/>
        <w:jc w:val="left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left"/>
        <w:rPr>
          <w:rFonts w:hint="eastAsia" w:ascii="Calibri" w:hAnsi="Calibri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为贯彻落实习近平生态文明思想，加强塘朗山、梅林山、银湖山的保护与利用，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推进生态资源可持续利用，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促进人与自然和谐共生，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市政府起草了《深圳经济特区塘朗山梅林山银湖山保护与利用若干规定（草案）》（以下简称《规定（草案）》）。现将有关情况说明如下：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一、制定《规定（草案）》的必要性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塘朗山、梅林山、银湖山是我市中心城区唯一的连片山体生态系统，横跨南山、福田、罗湖、龙岗、龙华5个行政区，是我市“四带八片多廊”生态保护格局确定的重要区域绿地，通过生态廊道连接阳台山、梧桐山、平湖三片区域绿地，发挥着重要的生态筑底作用。塘朗山、梅林山、银湖山内山沟谷纵横、地势陡峭，生境类型丰富，是中国极小种群“仙湖苏铁”的故乡，是我市珍稀濒危裸子植物野外种群主要分布区之一，也是猕猴、豹猫等国家二级重点保护野生动物的主要栖息地。塘朗山、梅林山、银湖山作为我市建设公园城市“一脊一带二十廊”魅力生态骨架的重要节点，是城市中央“生态绿肺”的核心载体，在维护城市生态、物种、景观多样性等方面具有重要价值，有必要通过特区立法对塘朗山、梅林山、银湖山的保护与利用加以规范。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（一）全面贯彻落实习近平生态文明思想，践行绿水青山就是金山银山理念的重要举措。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党的十八大以来，以习近平同志为核心的党中央把生态文明建设作为统筹推进“五位一体”总体布局和协调推进“四个全面”战略布局的重要内容。党的二十大报告提出，“中国式现代化是人与自然和谐共生的现代化，既要创造更多物质财富和精神财富，也要提供更多优质生态产品”。为全面贯彻落实习近平生态文明思想和党的二十大精神，进一步加强塘朗山、梅林山、银湖山的保护与利用，有必要制定《规定（草案）》，用最严格制度最严密法治保护生态环境。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Calibri" w:hAnsi="Calibri" w:eastAsia="仿宋_GB2312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（二）筑牢先行示范区生态安全屏障，实现可持续发展先锋战略定位的现实需要。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《中共中央 国务院关于支持深圳建设中国特色社会主义先行示范区的意见》赋予深圳“可持续发展先锋”的战略定位，要求深圳率先打造人与自然和谐共生的美丽中国典范。塘朗山、梅林山、银湖山是我市国土空间“四带八片多廊”生态保护格局的重要区域绿地，是我市中部生态廊道的核心节点，更是维系我市生态网络完整性、保障区域生态安全、实现“可持续发展先锋”战略定位的核心生态基础设施。制定《规定（草案）》，在筑牢城市生态安全屏障、提升区域生物多样性保护水平等方面具有重要意义。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（三）探索生态保护和资源利用新模式，实现经济社会与生态保护协调发展的必然要求。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习近平总书记指出，良好生态环境既是自然财富，也是经济财富，关系经济社会发展潜力和后劲。目前，塘朗山、梅林山、银湖山面临着生态保护与城市开发利用的双重压力，如何在城市快速发展、资源充分利用的同时，最大限度地保护生态系统是塘朗山、梅林山、银湖山保护与利用的关键。制定《规定（草案）》，确定生态保护范围、规范开发利用行为，坚持生态为民、科学利用，不断增强市民群众的获得感、幸福感，为超大城市提供一条“生态保护、绿色发展、民生改善相统一”的生态空间可持续利用示范路径。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二、《规定（草案）》的主要内容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《规定（草案）》共二十条，主要包括保护利用原则、生态单元规划、协同保护、保护利用要求、保护对象、生态保护、野生动植物保护、无障碍环境建设、合理利用、科研活动、活动管理、应急救援等内容。通过对保护范围、保护对象、保护利用要求、游憩体验提升等进行细化规定，进一步提升塘朗山、梅林山、银湖山“生态屏障”与“民生福祉空间”的功能，促进人与自然和谐共生。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（一）完善管理体制，构建多元主体协同治理机制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《规定（草案）》聚焦塘朗山、梅林山、银湖山保护与利用两方面，明确要求市城市管理、规划和自然资源、生态环境等有关主管部门及属地政府在加强沟通协商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、信息共享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巡护执法、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防灾减灾、应急救援等方面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构建多层次、跨部门的协同保护机制（第五条）；在社会参与治理方面，鼓励塘朗山、梅林山、银湖山内的管理单位与周边社区建立协作机制，推动社会力量参与塘朗山、梅林山、银湖山的保护与利用（第五条）；在志愿服务方面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鼓励和支持志愿者、志愿服务组织依法开展相关保护与利用志愿服务活动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（第十四条），进一步提升塘朗山、梅林山、银湖山保护的系统性与执行力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（二）严格管理，实现生态空间差异化保护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党的二十届三中全会审议通过的《中共中央关于进一步全面深化改革 推进中国式现代化的决定》把“实施分区域、差异化、精准管控的生态环境管理制度”列为深化生态文明体制改革重点任务。为贯彻落实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党的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二十届三中全会精神，《规定（草案）》坚持规划先行，要求编制塘朗山梅林山银湖山生态单元规划，根据塘朗山、梅林山、银湖山自然生态系统的特性、功能定位和管理目标，实施生态敏感区和非生态敏感区分区管控制度，明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保护范围、保护对象、保护措施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等重要内容（第四条）。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其中，对珍稀物种栖息地、原生地、天然林及水源涵养区等生态敏感区实施严格保护，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严控建设规模，仅允许调查监测、生态修复等有限人为活动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；生态敏感区以外的其他区域需依照生态单元规划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合理开展科普宣传、生态旅游、游憩休闲、科研教学等公共服务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。同时，对塘朗山、梅林山、银湖山的建设活动提出相应要求，切实维护生态系统安全，提高生态系统质量（第六条）。</w:t>
      </w:r>
    </w:p>
    <w:p>
      <w:pPr>
        <w:keepNext w:val="0"/>
        <w:keepLines w:val="0"/>
        <w:pageBreakBefore w:val="0"/>
        <w:widowControl w:val="0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（三）合理利用，实现生态保护与民生福祉同频共振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“坚持生态惠民、生态利民、生态为民”是生态文明建设的根本出发点和落脚点。为最大限度给市民群众提供更多亲近自然、体验自然、了解自然的空间，《规定（草案）》明确市民群众可以在生态承载力范围内开展户外运动、生态旅游体验、自然教育等活动（第十二条）；鼓励高等院校、科研机构在塘朗山、梅林山、银湖山内依法开展相关科研调查等活动，支持开展科学技术研究（第十三条）；进一步完善公共服务体系，要求市城市管理部门会同有关部门不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塘朗山、梅林山、银湖山的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远足径体系，优化标识系统、智慧导览、应急救援等配套服务设施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（第十五条）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提升智慧化服务能力，让市民群众切实享受生态福祉，提升幸福感和获得感。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三、需要说明的其他问题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（一）完善全域生态系统保护体系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塘朗山、梅林山、银湖山存在跨区域生态保护碎片化问题，而生态保护需要聚焦于生态系统的整体性与关联性。《规定（草案）》推动建立生态空间一体化保护格局和野生动植物监测体系，重点解决生态保护碎片化问题，筑牢区域生物多样性保护防线，实现对塘朗山、梅林山、银湖山生态系统的全域保护。同时，聚焦仙湖苏铁、土沉香等我市特有珍稀物种及典型植被群落的保护需求，完善就地保护与迁地繁育机制，破解生境破碎化导致的物种濒危风险。</w:t>
      </w:r>
    </w:p>
    <w:p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（二）健全生态保护与合理利用协调机制</w:t>
      </w:r>
    </w:p>
    <w:p>
      <w:pPr>
        <w:keepNext w:val="0"/>
        <w:keepLines w:val="0"/>
        <w:pageBreakBefore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塘朗山、梅林山、银湖山作为“城市中央绿肺”的特殊定位，平衡好保护生态与满足市民多元化需求成为目前塘朗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山、梅林山、银湖山发展中需要解决的重点问题。立足于解决生态保护刚性约束与市民群众游憩体验提升的矛盾，探索超大城市生态空间可持续利用路径，《规定（草案）》明确在生态承载力范围内，合理开发利用塘朗山、梅林山、银湖山自然资源，包括自然教育、生态旅游体验活动等低干扰游憩产品，探索具有塘朗山、梅林山、银湖山特色的生态产品价值实现机制。在严格保护生态资源的前提下，让市民群众共享生态福祉，实现塘朗山、梅林山、银湖山可持续发展的良性循环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nLf9LUAAAABQEAAA8AAABkcnMvZG93bnJldi54bWxNj0FLxDAQhe+C/yGM&#10;4GVxk+1BSm26B0UF0YN1Ebxlm9mmbDOpTbZd/fWOIuhlmMcb3nyvXB99LyYcYxdIw2qpQCA1wXbU&#10;ati83F7kIGIyZE0fCDV8YIR1dXpSmsKGmZ5xqlMrOIRiYTS4lIZCytg49CYuw4DE3i6M3iSWYyvt&#10;aGYO973MlLqU3nTEH5wZ8Nphs68PXsPjzd3b68I9qOzpc7ELc72Z3u/3Wp+frdQViITH9HcM3/iM&#10;DhUzbcOBbBS9Bi6SfiZ7WZ6z3P4usirlf/rqC1BLAwQUAAAACACHTuJACLFDgjsCAABvBAAADgAA&#10;AGRycy9lMm9Eb2MueG1srVTBbtQwEL0j8Q+W7zS7RVSrqNlq1WoRUqGVCuLsdZyNJdtj2d5mywfA&#10;H3Diwp3v6nfw7GzaqnDgwMUZz4xn5r2ZyenZ3hp2q0LU5Bo+P5pxppykVrttwz99XL9acBaTcK0w&#10;5FTD71TkZ8uXL04HX6tj6sm0KjAEcbEefMP7lHxdVVH2yop4RF45GDsKViRcw7ZqgxgQ3ZrqeDY7&#10;qQYKrQ8kVYzQXoxGfogY/iUgdZ2W6oLkziqXxqhBGZEAKfbaR74s1Xadkumq66JKzDQcSFM5kQTy&#10;Jp/V8lTU2yB8r+WhBPEvJTzDZIV2SPoQ6kIkwXZB/xHKahkoUpeOJNlqBFIYAYr57Bk3N73wqmAB&#10;1dE/kB7/X1j54fY6MN1iEjhzwqLh99+/3f/4df/zK5tnegYfa3jd+OtwuEWIbDO8pxbeYpeoIN93&#10;wWYGgIntC8F3DwSrfWISyvnieLGYgXsJ23RB1ErU03MfYnqryLIsNDyggyW8uL2MaXSdXHI2R2tt&#10;DPSiNo4NDT95/WZWHjyxWJ1ULh5pjMMnQ8ogRnBpv9nDmJUbau+ALdA4J9HLtUYZlyKmaxEwGCgd&#10;q5OucHSGkI4OEmc9hS9/02d/9AtWzgYMWsMd9ooz886hj3kmJyFMwmYS3M6eEyYXvUEtRcSDkMwk&#10;doHsZ+zTKueASTiJTA1Pk3iexmHHPkq1WhWnnQ96248PMIVepEt342VOk3mMfoWernVh+5GVA2+Y&#10;w0LkYWfyoD+9F6/H/8T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AnLf9LUAAAABQEAAA8AAAAA&#10;AAAAAQAgAAAAOAAAAGRycy9kb3ducmV2LnhtbFBLAQIUABQAAAAIAIdO4kAIsUOCOwIAAG8EAAAO&#10;AAAAAAAAAAEAIAAAADkBAABkcnMvZTJvRG9jLnhtbFBLBQYAAAAABgAGAFkBAADmBQAAAAA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1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2686"/>
    <w:rsid w:val="39CE38A0"/>
    <w:rsid w:val="3E222636"/>
    <w:rsid w:val="453D6829"/>
    <w:rsid w:val="792275BE"/>
    <w:rsid w:val="AFE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8"/>
    <w:next w:val="8"/>
    <w:unhideWhenUsed/>
    <w:qFormat/>
    <w:uiPriority w:val="0"/>
    <w:pPr>
      <w:overflowPunct w:val="0"/>
      <w:snapToGrid w:val="0"/>
      <w:spacing w:line="590" w:lineRule="exact"/>
      <w:jc w:val="center"/>
      <w:outlineLvl w:val="1"/>
    </w:pPr>
    <w:rPr>
      <w:rFonts w:ascii="Times New Roman" w:hAnsi="Times New Roman" w:eastAsia="宋体" w:cs="方正小标宋_GBK"/>
      <w:color w:val="000000"/>
      <w:sz w:val="44"/>
      <w:szCs w:val="44"/>
    </w:rPr>
  </w:style>
  <w:style w:type="paragraph" w:styleId="9">
    <w:name w:val="heading 3"/>
    <w:basedOn w:val="1"/>
    <w:next w:val="1"/>
    <w:qFormat/>
    <w:uiPriority w:val="0"/>
    <w:pPr>
      <w:spacing w:line="572" w:lineRule="exact"/>
      <w:jc w:val="center"/>
      <w:outlineLvl w:val="2"/>
    </w:pPr>
    <w:rPr>
      <w:rFonts w:hint="eastAsia" w:ascii="宋体" w:hAnsi="宋体" w:eastAsia="方正小标宋简体" w:cs="宋体"/>
      <w:kern w:val="0"/>
      <w:sz w:val="44"/>
      <w:szCs w:val="27"/>
    </w:rPr>
  </w:style>
  <w:style w:type="paragraph" w:styleId="10">
    <w:name w:val="heading 4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41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2">
    <w:name w:val="heading 6"/>
    <w:basedOn w:val="1"/>
    <w:next w:val="1"/>
    <w:link w:val="42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3">
    <w:name w:val="heading 7"/>
    <w:basedOn w:val="1"/>
    <w:next w:val="1"/>
    <w:link w:val="43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">
    <w:name w:val="heading 8"/>
    <w:basedOn w:val="1"/>
    <w:next w:val="1"/>
    <w:link w:val="4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5">
    <w:name w:val="heading 9"/>
    <w:basedOn w:val="1"/>
    <w:next w:val="1"/>
    <w:link w:val="4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3">
    <w:name w:val="正文_0_0_0_0"/>
    <w:next w:val="4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4">
    <w:name w:val="Body Text"/>
    <w:basedOn w:val="5"/>
    <w:next w:val="6"/>
    <w:qFormat/>
    <w:uiPriority w:val="0"/>
    <w:pPr>
      <w:spacing w:line="540" w:lineRule="exact"/>
      <w:jc w:val="center"/>
    </w:pPr>
    <w:rPr>
      <w:rFonts w:ascii="宋体"/>
      <w:b/>
      <w:bCs/>
      <w:sz w:val="44"/>
    </w:rPr>
  </w:style>
  <w:style w:type="paragraph" w:customStyle="1" w:styleId="5">
    <w:name w:val="正文_0_0"/>
    <w:next w:val="4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customStyle="1" w:styleId="6">
    <w:name w:val="正文_0_0_0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customStyle="1" w:styleId="8">
    <w:name w:val="正文_0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360" w:lineRule="auto"/>
      <w:ind w:left="0" w:right="0" w:firstLine="0"/>
      <w:jc w:val="left"/>
    </w:pPr>
    <w:rPr>
      <w:rFonts w:hint="default" w:ascii="Calibri" w:hAnsi="Calibri" w:eastAsia="仿宋" w:cs="Times New Roman"/>
      <w:color w:val="auto"/>
      <w:spacing w:val="0"/>
      <w:kern w:val="2"/>
      <w:position w:val="0"/>
      <w:sz w:val="24"/>
      <w:szCs w:val="22"/>
      <w:lang w:val="en-US" w:eastAsia="zh-CN" w:bidi="ar-SA"/>
    </w:rPr>
  </w:style>
  <w:style w:type="paragraph" w:styleId="16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7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9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20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2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5">
    <w:name w:val="Subtitle"/>
    <w:basedOn w:val="1"/>
    <w:next w:val="1"/>
    <w:link w:val="49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2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8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30">
    <w:name w:val="Normal (Web)"/>
    <w:basedOn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28"/>
      <w:szCs w:val="32"/>
    </w:rPr>
  </w:style>
  <w:style w:type="table" w:styleId="33">
    <w:name w:val="Table Grid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Hyperlink"/>
    <w:basedOn w:val="34"/>
    <w:qFormat/>
    <w:uiPriority w:val="0"/>
    <w:rPr>
      <w:color w:val="0000FF"/>
      <w:u w:val="single"/>
    </w:rPr>
  </w:style>
  <w:style w:type="character" w:styleId="36">
    <w:name w:val="footnote reference"/>
    <w:basedOn w:val="34"/>
    <w:unhideWhenUsed/>
    <w:uiPriority w:val="99"/>
    <w:rPr>
      <w:vertAlign w:val="superscript"/>
    </w:rPr>
  </w:style>
  <w:style w:type="character" w:customStyle="1" w:styleId="37">
    <w:name w:val="Heading 1 Char"/>
    <w:basedOn w:val="34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4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4"/>
    <w:link w:val="10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4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4"/>
    <w:link w:val="1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4"/>
    <w:link w:val="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4"/>
    <w:link w:val="14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4"/>
    <w:link w:val="15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7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8">
    <w:name w:val="Title Char"/>
    <w:basedOn w:val="34"/>
    <w:uiPriority w:val="10"/>
    <w:rPr>
      <w:sz w:val="48"/>
      <w:szCs w:val="48"/>
    </w:rPr>
  </w:style>
  <w:style w:type="character" w:customStyle="1" w:styleId="49">
    <w:name w:val="Subtitle Char"/>
    <w:basedOn w:val="34"/>
    <w:link w:val="2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4"/>
    <w:qFormat/>
    <w:uiPriority w:val="99"/>
  </w:style>
  <w:style w:type="character" w:customStyle="1" w:styleId="55">
    <w:name w:val="Footer Char"/>
    <w:basedOn w:val="34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1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9">
    <w:name w:val="Plain Table 2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1">
    <w:name w:val="Plain Table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2">
    <w:name w:val="Plain Table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3">
    <w:name w:val="Grid Table 1 Light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2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2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2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2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2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3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3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3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3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3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1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4 - Accent 2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4 - Accent 3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4 - Accent 4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4 - Accent 5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4 - Accent 6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5 Dark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94">
    <w:name w:val="Grid Table 5 Dark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5">
    <w:name w:val="Grid Table 5 Dark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6">
    <w:name w:val="Grid Table 5 Dark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7">
    <w:name w:val="Grid Table 5 Dark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List Table 1 Light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1 Light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1 Light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1 Light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1 Light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1 Light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2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2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2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2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2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4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4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4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4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4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ned - Accent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2">
    <w:name w:val="Lined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3">
    <w:name w:val="Lined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4">
    <w:name w:val="Lined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5">
    <w:name w:val="Lined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6">
    <w:name w:val="Lined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9">
    <w:name w:val="Bordered &amp; Lined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70">
    <w:name w:val="Bordered &amp; Lined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71">
    <w:name w:val="Bordered &amp; Lined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2">
    <w:name w:val="Bordered &amp; Lined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3">
    <w:name w:val="Bordered &amp; Lined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2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6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2">
    <w:name w:val="Footnote Text Char"/>
    <w:link w:val="26"/>
    <w:qFormat/>
    <w:uiPriority w:val="99"/>
    <w:rPr>
      <w:sz w:val="18"/>
    </w:rPr>
  </w:style>
  <w:style w:type="paragraph" w:customStyle="1" w:styleId="183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84">
    <w:name w:val="正文_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42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customStyle="1" w:styleId="185">
    <w:name w:val="标题5"/>
    <w:basedOn w:val="8"/>
    <w:qFormat/>
    <w:uiPriority w:val="0"/>
  </w:style>
  <w:style w:type="character" w:customStyle="1" w:styleId="18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6148</Words>
  <Characters>6185</Characters>
  <TotalTime>0</TotalTime>
  <ScaleCrop>false</ScaleCrop>
  <LinksUpToDate>false</LinksUpToDate>
  <CharactersWithSpaces>6223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2020-12-31T00:57:00Z</dcterms:created>
  <dc:creator>雷伟珍</dc:creator>
  <cp:lastModifiedBy>kaifa4</cp:lastModifiedBy>
  <dcterms:modified xsi:type="dcterms:W3CDTF">2026-01-04T15:09:12Z</dcterms:modified>
  <dc:title>关于《深圳经济特区道路交通安全管理条例修正案（草案）》公开征求意见的公告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eyJoZGlkIjoiNzlmODlmNDMwYzg2OWE0ODZkNWIzZTJkZjc2YjQ1YWYiLCJ1c2VySWQiOiIxNzYzNzEzNjY0In0=</vt:lpwstr>
  </property>
  <property fmtid="{D5CDD505-2E9C-101B-9397-08002B2CF9AE}" pid="3" name="KSOProductBuildVer">
    <vt:lpwstr>2052-11.8.2.12229</vt:lpwstr>
  </property>
  <property fmtid="{D5CDD505-2E9C-101B-9397-08002B2CF9AE}" pid="4" name="ICV">
    <vt:lpwstr>9F789842A58B4D11B7638BB620F48C00_12</vt:lpwstr>
  </property>
</Properties>
</file>