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bidi w:val="0"/>
        <w:adjustRightInd/>
        <w:snapToGrid/>
        <w:spacing w:line="560" w:lineRule="exact"/>
        <w:jc w:val="both"/>
        <w:textAlignment w:val="auto"/>
        <w:rPr>
          <w:rStyle w:val="11"/>
          <w:rFonts w:hint="eastAsia" w:ascii="黑体" w:hAnsi="黑体" w:eastAsia="黑体" w:cs="黑体"/>
          <w:bCs/>
          <w:sz w:val="32"/>
          <w:szCs w:val="32"/>
          <w:lang w:val="en-US" w:eastAsia="zh-CN"/>
        </w:rPr>
      </w:pPr>
      <w:r>
        <w:rPr>
          <w:rStyle w:val="11"/>
          <w:rFonts w:hint="eastAsia" w:ascii="黑体" w:hAnsi="黑体" w:eastAsia="黑体" w:cs="黑体"/>
          <w:bCs/>
          <w:sz w:val="32"/>
          <w:szCs w:val="32"/>
          <w:lang w:val="en" w:eastAsia="zh-CN"/>
        </w:rPr>
        <w:t>附件</w:t>
      </w:r>
      <w:r>
        <w:rPr>
          <w:rStyle w:val="11"/>
          <w:rFonts w:hint="eastAsia" w:ascii="黑体" w:hAnsi="黑体" w:eastAsia="黑体" w:cs="黑体"/>
          <w:bCs/>
          <w:sz w:val="32"/>
          <w:szCs w:val="32"/>
          <w:lang w:val="en-US" w:eastAsia="zh-CN"/>
        </w:rPr>
        <w:t>1</w:t>
      </w:r>
    </w:p>
    <w:p>
      <w:pPr>
        <w:pStyle w:val="2"/>
        <w:rPr>
          <w:rFonts w:hint="default"/>
          <w:lang w:val="en-US" w:eastAsia="zh-CN"/>
        </w:rPr>
      </w:pPr>
    </w:p>
    <w:p>
      <w:pPr>
        <w:pStyle w:val="14"/>
        <w:keepNext w:val="0"/>
        <w:keepLines w:val="0"/>
        <w:pageBreakBefore w:val="0"/>
        <w:widowControl w:val="0"/>
        <w:kinsoku/>
        <w:wordWrap/>
        <w:overflowPunct/>
        <w:topLinePunct w:val="0"/>
        <w:bidi w:val="0"/>
        <w:adjustRightInd/>
        <w:snapToGrid/>
        <w:spacing w:line="560" w:lineRule="exact"/>
        <w:jc w:val="center"/>
        <w:textAlignment w:val="auto"/>
        <w:rPr>
          <w:rStyle w:val="11"/>
          <w:rFonts w:hint="eastAsia" w:ascii="方正小标宋简体" w:hAnsi="宋体" w:eastAsia="方正小标宋简体"/>
          <w:bCs/>
          <w:sz w:val="44"/>
          <w:szCs w:val="44"/>
          <w:lang w:val="en"/>
        </w:rPr>
      </w:pPr>
      <w:r>
        <w:rPr>
          <w:rStyle w:val="11"/>
          <w:rFonts w:hint="eastAsia" w:ascii="方正小标宋简体" w:hAnsi="宋体" w:eastAsia="方正小标宋简体"/>
          <w:bCs/>
          <w:sz w:val="44"/>
          <w:szCs w:val="44"/>
          <w:lang w:val="en"/>
        </w:rPr>
        <w:t>关于《</w:t>
      </w:r>
      <w:r>
        <w:rPr>
          <w:rStyle w:val="11"/>
          <w:rFonts w:hint="eastAsia" w:ascii="方正小标宋简体" w:hAnsi="宋体" w:eastAsia="方正小标宋简体"/>
          <w:bCs/>
          <w:sz w:val="44"/>
          <w:szCs w:val="44"/>
          <w:lang w:val="en" w:eastAsia="zh-CN"/>
        </w:rPr>
        <w:t>深圳经济特区职业教育条例</w:t>
      </w:r>
      <w:r>
        <w:rPr>
          <w:rStyle w:val="11"/>
          <w:rFonts w:hint="eastAsia" w:ascii="方正小标宋简体" w:hAnsi="宋体" w:eastAsia="方正小标宋简体"/>
          <w:bCs/>
          <w:sz w:val="44"/>
          <w:szCs w:val="44"/>
          <w:lang w:val="en"/>
        </w:rPr>
        <w:t>（</w:t>
      </w:r>
      <w:r>
        <w:rPr>
          <w:rStyle w:val="11"/>
          <w:rFonts w:hint="eastAsia" w:ascii="方正小标宋简体" w:hAnsi="宋体" w:eastAsia="方正小标宋简体"/>
          <w:bCs/>
          <w:sz w:val="44"/>
          <w:szCs w:val="44"/>
          <w:lang w:val="en-US" w:eastAsia="zh-CN"/>
        </w:rPr>
        <w:t>草案</w:t>
      </w:r>
      <w:r>
        <w:rPr>
          <w:rStyle w:val="11"/>
          <w:rFonts w:hint="eastAsia" w:ascii="方正小标宋简体" w:hAnsi="宋体" w:eastAsia="方正小标宋简体"/>
          <w:bCs/>
          <w:sz w:val="44"/>
          <w:szCs w:val="44"/>
          <w:lang w:val="en"/>
        </w:rPr>
        <w:t>）》</w:t>
      </w:r>
    </w:p>
    <w:p>
      <w:pPr>
        <w:pStyle w:val="14"/>
        <w:keepNext w:val="0"/>
        <w:keepLines w:val="0"/>
        <w:pageBreakBefore w:val="0"/>
        <w:widowControl w:val="0"/>
        <w:kinsoku/>
        <w:wordWrap/>
        <w:overflowPunct/>
        <w:topLinePunct w:val="0"/>
        <w:bidi w:val="0"/>
        <w:adjustRightInd/>
        <w:snapToGrid/>
        <w:spacing w:line="560" w:lineRule="exact"/>
        <w:jc w:val="center"/>
        <w:textAlignment w:val="auto"/>
        <w:rPr>
          <w:rStyle w:val="11"/>
          <w:rFonts w:hint="eastAsia" w:ascii="方正小标宋简体" w:hAnsi="宋体" w:eastAsia="方正小标宋简体"/>
          <w:bCs/>
          <w:sz w:val="44"/>
          <w:szCs w:val="44"/>
          <w:lang w:val="en"/>
        </w:rPr>
      </w:pPr>
      <w:r>
        <w:rPr>
          <w:rStyle w:val="11"/>
          <w:rFonts w:hint="eastAsia" w:ascii="方正小标宋简体" w:hAnsi="宋体" w:eastAsia="方正小标宋简体"/>
          <w:bCs/>
          <w:sz w:val="44"/>
          <w:szCs w:val="44"/>
          <w:lang w:val="en"/>
        </w:rPr>
        <w:t>的说明</w:t>
      </w:r>
    </w:p>
    <w:p>
      <w:pPr>
        <w:pStyle w:val="3"/>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Style w:val="11"/>
          <w:rFonts w:hint="eastAsia" w:ascii="仿宋_GB2312" w:eastAsia="仿宋_GB2312"/>
          <w:b w:val="0"/>
          <w:snapToGrid w:val="0"/>
          <w:color w:val="auto"/>
          <w:spacing w:val="-2"/>
          <w:kern w:val="0"/>
        </w:rPr>
      </w:pPr>
    </w:p>
    <w:p>
      <w:pPr>
        <w:pStyle w:val="1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eastAsia="仿宋_GB2312"/>
          <w:kern w:val="0"/>
          <w:sz w:val="32"/>
          <w:szCs w:val="32"/>
          <w:lang w:val="en-US" w:eastAsia="zh-CN"/>
        </w:rPr>
      </w:pPr>
      <w:r>
        <w:rPr>
          <w:rFonts w:hint="eastAsia" w:eastAsia="仿宋_GB2312"/>
          <w:kern w:val="0"/>
          <w:sz w:val="32"/>
          <w:szCs w:val="32"/>
        </w:rPr>
        <w:t>为贯彻落实党的二十大精神，</w:t>
      </w:r>
      <w:r>
        <w:rPr>
          <w:rFonts w:hint="eastAsia" w:eastAsia="仿宋_GB2312"/>
          <w:kern w:val="0"/>
          <w:sz w:val="32"/>
          <w:szCs w:val="32"/>
          <w:lang w:eastAsia="zh-CN"/>
        </w:rPr>
        <w:t>推动职业教育高质量发展，建设国际一流职业教育体系，培</w:t>
      </w:r>
      <w:r>
        <w:rPr>
          <w:rFonts w:hint="eastAsia" w:ascii="仿宋" w:hAnsi="仿宋" w:eastAsia="仿宋" w:cs="仿宋_GB2312"/>
          <w:color w:val="000000"/>
          <w:sz w:val="32"/>
          <w:szCs w:val="32"/>
          <w:shd w:val="clear" w:color="auto" w:fill="FFFFFF"/>
          <w:lang w:eastAsia="zh-CN"/>
        </w:rPr>
        <w:t>养知识型、创新型、高素质技术技能人才</w:t>
      </w:r>
      <w:r>
        <w:rPr>
          <w:rFonts w:hint="eastAsia" w:eastAsia="仿宋_GB2312"/>
          <w:kern w:val="0"/>
          <w:sz w:val="32"/>
          <w:szCs w:val="32"/>
        </w:rPr>
        <w:t>，市政府</w:t>
      </w:r>
      <w:r>
        <w:rPr>
          <w:rFonts w:hint="eastAsia" w:eastAsia="仿宋_GB2312"/>
          <w:kern w:val="0"/>
          <w:sz w:val="32"/>
          <w:szCs w:val="32"/>
          <w:lang w:eastAsia="zh-CN"/>
        </w:rPr>
        <w:t>组织草拟了</w:t>
      </w:r>
      <w:r>
        <w:rPr>
          <w:rFonts w:hint="eastAsia" w:eastAsia="仿宋_GB2312"/>
          <w:kern w:val="0"/>
          <w:sz w:val="32"/>
          <w:szCs w:val="32"/>
        </w:rPr>
        <w:t>《深圳经济特区</w:t>
      </w:r>
      <w:r>
        <w:rPr>
          <w:rFonts w:hint="eastAsia" w:eastAsia="仿宋_GB2312"/>
          <w:kern w:val="0"/>
          <w:sz w:val="32"/>
          <w:szCs w:val="32"/>
          <w:lang w:eastAsia="zh-CN"/>
        </w:rPr>
        <w:t>职业教育</w:t>
      </w:r>
      <w:r>
        <w:rPr>
          <w:rFonts w:hint="eastAsia" w:eastAsia="仿宋_GB2312"/>
          <w:kern w:val="0"/>
          <w:sz w:val="32"/>
          <w:szCs w:val="32"/>
        </w:rPr>
        <w:t>条例（草案）》（以下简称《条例（草案）》）</w:t>
      </w:r>
      <w:r>
        <w:rPr>
          <w:rFonts w:hint="eastAsia" w:eastAsia="仿宋_GB2312"/>
          <w:kern w:val="0"/>
          <w:sz w:val="32"/>
          <w:szCs w:val="32"/>
          <w:lang w:eastAsia="zh-CN"/>
        </w:rPr>
        <w:t>提请市人大常委会审议。</w:t>
      </w:r>
      <w:r>
        <w:rPr>
          <w:rFonts w:hint="eastAsia" w:eastAsia="仿宋_GB2312"/>
          <w:kern w:val="0"/>
          <w:sz w:val="32"/>
          <w:szCs w:val="32"/>
        </w:rPr>
        <w:t>《条例（草案）》</w:t>
      </w:r>
      <w:r>
        <w:rPr>
          <w:rFonts w:hint="eastAsia" w:eastAsia="仿宋_GB2312"/>
          <w:kern w:val="0"/>
          <w:sz w:val="32"/>
          <w:szCs w:val="32"/>
          <w:lang w:eastAsia="zh-CN"/>
        </w:rPr>
        <w:t>起草</w:t>
      </w:r>
      <w:r>
        <w:rPr>
          <w:rFonts w:hint="eastAsia" w:eastAsia="仿宋_GB2312"/>
          <w:kern w:val="0"/>
          <w:sz w:val="32"/>
          <w:szCs w:val="32"/>
        </w:rPr>
        <w:t>有关情况说明如下：</w:t>
      </w:r>
    </w:p>
    <w:p>
      <w:pPr>
        <w:pStyle w:val="14"/>
        <w:keepNext w:val="0"/>
        <w:keepLines w:val="0"/>
        <w:pageBreakBefore w:val="0"/>
        <w:widowControl w:val="0"/>
        <w:kinsoku/>
        <w:wordWrap/>
        <w:overflowPunct/>
        <w:topLinePunct w:val="0"/>
        <w:bidi w:val="0"/>
        <w:adjustRightInd/>
        <w:snapToGrid/>
        <w:spacing w:line="560" w:lineRule="exact"/>
        <w:ind w:firstLine="640" w:firstLineChars="200"/>
        <w:textAlignment w:val="auto"/>
        <w:rPr>
          <w:rStyle w:val="11"/>
          <w:rFonts w:ascii="仿宋_GB2312" w:hAnsi="仿宋_GB2312" w:eastAsia="仿宋_GB2312"/>
          <w:color w:val="auto"/>
          <w:sz w:val="32"/>
          <w:szCs w:val="32"/>
        </w:rPr>
      </w:pPr>
      <w:r>
        <w:rPr>
          <w:rStyle w:val="11"/>
          <w:rFonts w:hint="eastAsia" w:ascii="黑体" w:hAnsi="黑体" w:eastAsia="黑体" w:cs="黑体"/>
          <w:bCs/>
          <w:color w:val="auto"/>
          <w:sz w:val="32"/>
          <w:szCs w:val="32"/>
        </w:rPr>
        <w:t>一、立法</w:t>
      </w:r>
      <w:r>
        <w:rPr>
          <w:rStyle w:val="11"/>
          <w:rFonts w:hint="default" w:ascii="黑体" w:hAnsi="黑体" w:eastAsia="黑体" w:cs="黑体"/>
          <w:bCs/>
          <w:color w:val="auto"/>
          <w:sz w:val="32"/>
          <w:szCs w:val="32"/>
        </w:rPr>
        <w:t>的</w:t>
      </w:r>
      <w:r>
        <w:rPr>
          <w:rStyle w:val="11"/>
          <w:rFonts w:hint="eastAsia" w:ascii="黑体" w:hAnsi="黑体" w:eastAsia="黑体" w:cs="黑体"/>
          <w:bCs/>
          <w:color w:val="auto"/>
          <w:sz w:val="32"/>
          <w:szCs w:val="32"/>
        </w:rPr>
        <w:t>必要性</w:t>
      </w:r>
    </w:p>
    <w:p>
      <w:pPr>
        <w:pStyle w:val="14"/>
        <w:keepNext w:val="0"/>
        <w:keepLines w:val="0"/>
        <w:pageBreakBefore w:val="0"/>
        <w:widowControl w:val="0"/>
        <w:kinsoku/>
        <w:wordWrap/>
        <w:overflowPunct/>
        <w:topLinePunct w:val="0"/>
        <w:autoSpaceDN w:val="0"/>
        <w:bidi w:val="0"/>
        <w:adjustRightInd/>
        <w:snapToGrid/>
        <w:spacing w:line="560" w:lineRule="exact"/>
        <w:ind w:firstLine="640" w:firstLineChars="200"/>
        <w:jc w:val="both"/>
        <w:textAlignment w:val="auto"/>
        <w:rPr>
          <w:rStyle w:val="11"/>
          <w:rFonts w:hint="eastAsia" w:ascii="楷体_GB2312" w:hAnsi="楷体_GB2312" w:eastAsia="楷体_GB2312" w:cs="楷体_GB2312"/>
          <w:b w:val="0"/>
          <w:bCs/>
          <w:color w:val="auto"/>
          <w:sz w:val="32"/>
          <w:szCs w:val="32"/>
          <w:lang w:eastAsia="zh-CN"/>
        </w:rPr>
      </w:pPr>
      <w:r>
        <w:rPr>
          <w:rStyle w:val="11"/>
          <w:rFonts w:hint="eastAsia" w:ascii="楷体_GB2312" w:hAnsi="楷体_GB2312" w:eastAsia="楷体_GB2312" w:cs="楷体_GB2312"/>
          <w:b w:val="0"/>
          <w:bCs/>
          <w:color w:val="auto"/>
          <w:sz w:val="32"/>
          <w:szCs w:val="32"/>
        </w:rPr>
        <w:t>（一）制</w:t>
      </w:r>
      <w:r>
        <w:rPr>
          <w:rStyle w:val="11"/>
          <w:rFonts w:hint="eastAsia" w:ascii="楷体_GB2312" w:hAnsi="楷体_GB2312" w:eastAsia="楷体_GB2312" w:cs="楷体_GB2312"/>
          <w:b w:val="0"/>
          <w:bCs/>
          <w:color w:val="auto"/>
          <w:sz w:val="32"/>
          <w:szCs w:val="32"/>
          <w:lang w:eastAsia="zh-CN"/>
        </w:rPr>
        <w:t>定条例是贯彻落实党的二十大精神，</w:t>
      </w:r>
      <w:r>
        <w:rPr>
          <w:rStyle w:val="11"/>
          <w:rFonts w:hint="eastAsia" w:ascii="楷体_GB2312" w:hAnsi="楷体_GB2312" w:eastAsia="楷体_GB2312" w:cs="楷体_GB2312"/>
          <w:b w:val="0"/>
          <w:bCs/>
          <w:color w:val="auto"/>
          <w:sz w:val="32"/>
          <w:szCs w:val="32"/>
          <w:lang w:val="en-US" w:eastAsia="zh-CN"/>
        </w:rPr>
        <w:t>推动我市现代职业教育高质量发展的需要。</w:t>
      </w:r>
    </w:p>
    <w:p>
      <w:pPr>
        <w:pStyle w:val="14"/>
        <w:keepNext w:val="0"/>
        <w:keepLines w:val="0"/>
        <w:pageBreakBefore w:val="0"/>
        <w:widowControl w:val="0"/>
        <w:kinsoku/>
        <w:wordWrap/>
        <w:overflowPunct/>
        <w:topLinePunct w:val="0"/>
        <w:autoSpaceDN w:val="0"/>
        <w:bidi w:val="0"/>
        <w:adjustRightInd/>
        <w:snapToGrid/>
        <w:spacing w:line="560" w:lineRule="exact"/>
        <w:ind w:firstLine="640" w:firstLineChars="200"/>
        <w:jc w:val="both"/>
        <w:textAlignment w:val="auto"/>
        <w:rPr>
          <w:rStyle w:val="11"/>
          <w:rFonts w:hint="eastAsia" w:ascii="仿宋_GB2312" w:hAnsi="仿宋_GB2312" w:eastAsia="仿宋_GB2312"/>
          <w:bCs/>
          <w:color w:val="auto"/>
          <w:sz w:val="32"/>
          <w:szCs w:val="32"/>
          <w:highlight w:val="none"/>
          <w:lang w:val="en-US" w:eastAsia="zh-CN"/>
        </w:rPr>
      </w:pPr>
      <w:r>
        <w:rPr>
          <w:rStyle w:val="11"/>
          <w:rFonts w:hint="eastAsia" w:ascii="仿宋_GB2312" w:hAnsi="仿宋_GB2312" w:eastAsia="仿宋_GB2312"/>
          <w:bCs/>
          <w:color w:val="auto"/>
          <w:sz w:val="32"/>
          <w:szCs w:val="32"/>
          <w:highlight w:val="none"/>
          <w:lang w:val="zh-CN"/>
        </w:rPr>
        <w:t>党的二十大报告指出：“统筹职业教育、高等教育、继续教育协同创新，推进职普融通、产教融合、科教融汇，优化职业教育类型定位”。</w:t>
      </w:r>
      <w:r>
        <w:rPr>
          <w:rStyle w:val="11"/>
          <w:rFonts w:hint="eastAsia" w:ascii="仿宋_GB2312" w:hAnsi="仿宋_GB2312" w:eastAsia="仿宋_GB2312"/>
          <w:bCs/>
          <w:color w:val="auto"/>
          <w:sz w:val="32"/>
          <w:szCs w:val="32"/>
          <w:highlight w:val="none"/>
          <w:lang w:val="zh-TW" w:eastAsia="zh-CN"/>
        </w:rPr>
        <w:t>《</w:t>
      </w:r>
      <w:r>
        <w:rPr>
          <w:rStyle w:val="11"/>
          <w:rFonts w:hint="eastAsia" w:ascii="仿宋_GB2312" w:hAnsi="仿宋_GB2312" w:eastAsia="仿宋_GB2312"/>
          <w:bCs/>
          <w:color w:val="auto"/>
          <w:sz w:val="32"/>
          <w:szCs w:val="32"/>
          <w:highlight w:val="none"/>
          <w:lang w:val="zh-TW"/>
        </w:rPr>
        <w:t>中共中央 国务院关于支持深圳建设中国特色社会主义先行示范区的意见</w:t>
      </w:r>
      <w:r>
        <w:rPr>
          <w:rStyle w:val="11"/>
          <w:rFonts w:hint="eastAsia" w:ascii="仿宋_GB2312" w:hAnsi="仿宋_GB2312" w:eastAsia="仿宋_GB2312"/>
          <w:bCs/>
          <w:color w:val="auto"/>
          <w:sz w:val="32"/>
          <w:szCs w:val="32"/>
          <w:highlight w:val="none"/>
          <w:lang w:val="zh-TW" w:eastAsia="zh-CN"/>
        </w:rPr>
        <w:t>》明确提出，深圳要</w:t>
      </w:r>
      <w:r>
        <w:rPr>
          <w:rStyle w:val="11"/>
          <w:rFonts w:hint="eastAsia" w:ascii="仿宋_GB2312" w:hAnsi="仿宋_GB2312" w:eastAsia="仿宋_GB2312"/>
          <w:bCs/>
          <w:color w:val="auto"/>
          <w:sz w:val="32"/>
          <w:szCs w:val="32"/>
          <w:highlight w:val="none"/>
          <w:lang w:val="zh-TW"/>
        </w:rPr>
        <w:t>建立健全适应“双元”育人职业教育的体制机制，打造现代职业教育体系。国务院印发</w:t>
      </w:r>
      <w:r>
        <w:rPr>
          <w:rStyle w:val="11"/>
          <w:rFonts w:hint="eastAsia" w:ascii="仿宋_GB2312" w:hAnsi="仿宋_GB2312" w:eastAsia="仿宋_GB2312"/>
          <w:bCs/>
          <w:color w:val="auto"/>
          <w:sz w:val="32"/>
          <w:szCs w:val="32"/>
          <w:highlight w:val="none"/>
          <w:lang w:val="zh-TW" w:eastAsia="zh-CN"/>
        </w:rPr>
        <w:t>的</w:t>
      </w:r>
      <w:r>
        <w:rPr>
          <w:rStyle w:val="11"/>
          <w:rFonts w:hint="eastAsia" w:ascii="仿宋_GB2312" w:hAnsi="仿宋_GB2312" w:eastAsia="仿宋_GB2312"/>
          <w:bCs/>
          <w:color w:val="auto"/>
          <w:sz w:val="32"/>
          <w:szCs w:val="32"/>
          <w:highlight w:val="none"/>
          <w:lang w:val="zh-TW"/>
        </w:rPr>
        <w:t>《国家职业教育改革实施方案》</w:t>
      </w:r>
      <w:r>
        <w:rPr>
          <w:rStyle w:val="11"/>
          <w:rFonts w:hint="eastAsia" w:ascii="仿宋_GB2312" w:hAnsi="仿宋_GB2312" w:eastAsia="仿宋_GB2312"/>
          <w:bCs/>
          <w:color w:val="auto"/>
          <w:sz w:val="32"/>
          <w:szCs w:val="32"/>
          <w:highlight w:val="none"/>
          <w:lang w:val="zh-TW" w:eastAsia="zh-CN"/>
        </w:rPr>
        <w:t>和</w:t>
      </w:r>
      <w:r>
        <w:rPr>
          <w:rStyle w:val="11"/>
          <w:rFonts w:hint="eastAsia" w:ascii="仿宋_GB2312" w:hAnsi="仿宋_GB2312" w:eastAsia="仿宋_GB2312"/>
          <w:bCs/>
          <w:color w:val="auto"/>
          <w:sz w:val="32"/>
          <w:szCs w:val="32"/>
          <w:highlight w:val="none"/>
          <w:lang w:val="zh-TW"/>
        </w:rPr>
        <w:t>中共中央办公厅、国务院办公厅印发</w:t>
      </w:r>
      <w:r>
        <w:rPr>
          <w:rStyle w:val="11"/>
          <w:rFonts w:hint="eastAsia" w:ascii="仿宋_GB2312" w:hAnsi="仿宋_GB2312" w:eastAsia="仿宋_GB2312"/>
          <w:bCs/>
          <w:color w:val="auto"/>
          <w:sz w:val="32"/>
          <w:szCs w:val="32"/>
          <w:highlight w:val="none"/>
          <w:lang w:val="zh-TW" w:eastAsia="zh-CN"/>
        </w:rPr>
        <w:t>的</w:t>
      </w:r>
      <w:r>
        <w:rPr>
          <w:rStyle w:val="11"/>
          <w:rFonts w:hint="eastAsia" w:ascii="仿宋_GB2312" w:hAnsi="仿宋_GB2312" w:eastAsia="仿宋_GB2312"/>
          <w:bCs/>
          <w:color w:val="auto"/>
          <w:sz w:val="32"/>
          <w:szCs w:val="32"/>
          <w:highlight w:val="none"/>
          <w:lang w:val="zh-TW"/>
        </w:rPr>
        <w:t>《关于推动现代职业教育高质量发展的意见》，</w:t>
      </w:r>
      <w:r>
        <w:rPr>
          <w:rStyle w:val="11"/>
          <w:rFonts w:hint="eastAsia" w:ascii="仿宋_GB2312" w:hAnsi="仿宋_GB2312" w:eastAsia="仿宋_GB2312"/>
          <w:bCs/>
          <w:color w:val="auto"/>
          <w:sz w:val="32"/>
          <w:szCs w:val="32"/>
          <w:highlight w:val="none"/>
          <w:lang w:val="zh-TW" w:eastAsia="zh-CN"/>
        </w:rPr>
        <w:t>先后提出“</w:t>
      </w:r>
      <w:r>
        <w:rPr>
          <w:rStyle w:val="11"/>
          <w:rFonts w:hint="eastAsia" w:ascii="仿宋_GB2312" w:hAnsi="仿宋_GB2312" w:eastAsia="仿宋_GB2312"/>
          <w:bCs/>
          <w:color w:val="auto"/>
          <w:sz w:val="32"/>
          <w:szCs w:val="32"/>
          <w:highlight w:val="none"/>
          <w:lang w:val="zh-TW"/>
        </w:rPr>
        <w:t>坚持以习近平新时代中国特色社会主义思想为指导，把职业教育摆在教育改革创新和经济社会发展中更加突出的位置</w:t>
      </w:r>
      <w:r>
        <w:rPr>
          <w:rStyle w:val="11"/>
          <w:rFonts w:hint="eastAsia" w:ascii="仿宋_GB2312" w:hAnsi="仿宋_GB2312" w:eastAsia="仿宋_GB2312"/>
          <w:bCs/>
          <w:color w:val="auto"/>
          <w:sz w:val="32"/>
          <w:szCs w:val="32"/>
          <w:highlight w:val="none"/>
          <w:lang w:val="zh-TW" w:eastAsia="zh-CN"/>
        </w:rPr>
        <w:t>”</w:t>
      </w:r>
      <w:r>
        <w:rPr>
          <w:rStyle w:val="11"/>
          <w:rFonts w:hint="eastAsia" w:ascii="仿宋_GB2312" w:hAnsi="仿宋_GB2312" w:eastAsia="仿宋_GB2312"/>
          <w:bCs/>
          <w:color w:val="auto"/>
          <w:sz w:val="32"/>
          <w:szCs w:val="32"/>
          <w:highlight w:val="none"/>
          <w:lang w:val="zh-TW"/>
        </w:rPr>
        <w:t>“到2025年，职业教育类型特色更加鲜明，现代职业教育体系基本建成，技能型社会建设全面推进”</w:t>
      </w:r>
      <w:r>
        <w:rPr>
          <w:rStyle w:val="11"/>
          <w:rFonts w:hint="eastAsia" w:ascii="仿宋_GB2312" w:hAnsi="仿宋_GB2312" w:eastAsia="仿宋_GB2312"/>
          <w:bCs/>
          <w:color w:val="auto"/>
          <w:sz w:val="32"/>
          <w:szCs w:val="32"/>
          <w:highlight w:val="none"/>
          <w:lang w:val="zh-TW" w:eastAsia="zh-CN"/>
        </w:rPr>
        <w:t>。</w:t>
      </w:r>
      <w:r>
        <w:rPr>
          <w:rStyle w:val="11"/>
          <w:rFonts w:hint="eastAsia" w:ascii="仿宋_GB2312" w:hAnsi="仿宋_GB2312" w:eastAsia="仿宋_GB2312"/>
          <w:bCs/>
          <w:color w:val="auto"/>
          <w:sz w:val="32"/>
          <w:szCs w:val="32"/>
          <w:highlight w:val="none"/>
          <w:lang w:val="zh-CN"/>
        </w:rPr>
        <w:t>为贯彻落实党的二</w:t>
      </w:r>
      <w:r>
        <w:rPr>
          <w:rStyle w:val="11"/>
          <w:rFonts w:hint="eastAsia" w:ascii="仿宋_GB2312" w:hAnsi="仿宋_GB2312" w:eastAsia="仿宋_GB2312"/>
          <w:bCs/>
          <w:color w:val="auto"/>
          <w:sz w:val="32"/>
          <w:szCs w:val="32"/>
          <w:highlight w:val="none"/>
          <w:lang w:val="zh-CN" w:eastAsia="zh-CN"/>
        </w:rPr>
        <w:t>十大关于职业教育的决策部署以及</w:t>
      </w:r>
      <w:r>
        <w:rPr>
          <w:rStyle w:val="11"/>
          <w:rFonts w:hint="eastAsia" w:ascii="仿宋_GB2312" w:hAnsi="仿宋_GB2312" w:eastAsia="仿宋_GB2312"/>
          <w:bCs/>
          <w:color w:val="auto"/>
          <w:sz w:val="32"/>
          <w:szCs w:val="32"/>
          <w:highlight w:val="none"/>
          <w:lang w:val="en-US" w:eastAsia="zh-CN"/>
        </w:rPr>
        <w:t>上述有关政策，我市有必要通过开展职业教育立法，做实做强职业教育类型，增强职业教育适应性，建设国际一流职业教育体系，推动现代职业教育高质量发展。</w:t>
      </w:r>
    </w:p>
    <w:p>
      <w:pPr>
        <w:pStyle w:val="14"/>
        <w:keepNext w:val="0"/>
        <w:keepLines w:val="0"/>
        <w:pageBreakBefore w:val="0"/>
        <w:widowControl w:val="0"/>
        <w:kinsoku/>
        <w:wordWrap/>
        <w:overflowPunct/>
        <w:topLinePunct w:val="0"/>
        <w:autoSpaceDN w:val="0"/>
        <w:bidi w:val="0"/>
        <w:adjustRightInd/>
        <w:snapToGrid/>
        <w:spacing w:line="560" w:lineRule="exact"/>
        <w:ind w:firstLine="640" w:firstLineChars="200"/>
        <w:jc w:val="both"/>
        <w:textAlignment w:val="auto"/>
        <w:rPr>
          <w:rStyle w:val="11"/>
          <w:rFonts w:hint="eastAsia" w:ascii="仿宋_GB2312" w:hAnsi="仿宋_GB2312" w:eastAsia="仿宋_GB2312"/>
          <w:bCs/>
          <w:color w:val="auto"/>
          <w:sz w:val="32"/>
          <w:szCs w:val="32"/>
          <w:highlight w:val="none"/>
          <w:lang w:val="en-US" w:eastAsia="zh-CN"/>
        </w:rPr>
      </w:pPr>
      <w:r>
        <w:rPr>
          <w:rStyle w:val="11"/>
          <w:rFonts w:hint="eastAsia" w:ascii="楷体_GB2312" w:hAnsi="楷体_GB2312" w:eastAsia="楷体_GB2312" w:cs="楷体_GB2312"/>
          <w:b w:val="0"/>
          <w:bCs/>
          <w:color w:val="auto"/>
          <w:sz w:val="32"/>
          <w:szCs w:val="32"/>
          <w:highlight w:val="none"/>
        </w:rPr>
        <w:t>（</w:t>
      </w:r>
      <w:r>
        <w:rPr>
          <w:rStyle w:val="11"/>
          <w:rFonts w:hint="eastAsia" w:ascii="楷体_GB2312" w:hAnsi="楷体_GB2312" w:eastAsia="楷体_GB2312" w:cs="楷体_GB2312"/>
          <w:b w:val="0"/>
          <w:bCs/>
          <w:color w:val="auto"/>
          <w:sz w:val="32"/>
          <w:szCs w:val="32"/>
          <w:highlight w:val="none"/>
          <w:lang w:eastAsia="zh-CN"/>
        </w:rPr>
        <w:t>二</w:t>
      </w:r>
      <w:r>
        <w:rPr>
          <w:rStyle w:val="11"/>
          <w:rFonts w:hint="eastAsia" w:ascii="楷体_GB2312" w:hAnsi="楷体_GB2312" w:eastAsia="楷体_GB2312" w:cs="楷体_GB2312"/>
          <w:b w:val="0"/>
          <w:bCs/>
          <w:color w:val="auto"/>
          <w:sz w:val="32"/>
          <w:szCs w:val="32"/>
          <w:highlight w:val="none"/>
        </w:rPr>
        <w:t>）制</w:t>
      </w:r>
      <w:r>
        <w:rPr>
          <w:rStyle w:val="11"/>
          <w:rFonts w:hint="eastAsia" w:ascii="楷体_GB2312" w:hAnsi="楷体_GB2312" w:eastAsia="楷体_GB2312" w:cs="楷体_GB2312"/>
          <w:b w:val="0"/>
          <w:bCs/>
          <w:color w:val="auto"/>
          <w:sz w:val="32"/>
          <w:szCs w:val="32"/>
          <w:highlight w:val="none"/>
          <w:lang w:eastAsia="zh-CN"/>
        </w:rPr>
        <w:t>定条例是衔接上位法规定，完善现代职业教育法治体系的需要。</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Style w:val="11"/>
          <w:rFonts w:hint="eastAsia" w:ascii="楷体_GB2312" w:hAnsi="楷体_GB2312" w:eastAsia="楷体_GB2312" w:cs="楷体_GB2312"/>
          <w:b w:val="0"/>
          <w:bCs/>
          <w:color w:val="auto"/>
          <w:sz w:val="32"/>
          <w:szCs w:val="32"/>
          <w:highlight w:val="none"/>
          <w:lang w:eastAsia="zh-Hans"/>
        </w:rPr>
      </w:pPr>
      <w:r>
        <w:rPr>
          <w:rFonts w:hint="eastAsia" w:ascii="仿宋" w:hAnsi="仿宋" w:eastAsia="仿宋" w:cs="仿宋_GB2312"/>
          <w:color w:val="000000"/>
          <w:sz w:val="32"/>
          <w:szCs w:val="32"/>
          <w:highlight w:val="none"/>
          <w:shd w:val="clear" w:color="auto" w:fill="FFFFFF"/>
          <w:lang w:eastAsia="zh-CN"/>
        </w:rPr>
        <w:t>《中华人民共和国职业教育法》经</w:t>
      </w:r>
      <w:r>
        <w:rPr>
          <w:rFonts w:hint="eastAsia" w:ascii="仿宋" w:hAnsi="仿宋" w:eastAsia="仿宋" w:cs="仿宋_GB2312"/>
          <w:color w:val="000000"/>
          <w:sz w:val="32"/>
          <w:szCs w:val="32"/>
          <w:highlight w:val="none"/>
          <w:shd w:val="clear" w:color="auto" w:fill="FFFFFF"/>
        </w:rPr>
        <w:t>十三届全国人大常委会第三十四次会议</w:t>
      </w:r>
      <w:r>
        <w:rPr>
          <w:rFonts w:hint="eastAsia" w:ascii="仿宋" w:hAnsi="仿宋" w:eastAsia="仿宋" w:cs="仿宋_GB2312"/>
          <w:color w:val="000000"/>
          <w:sz w:val="32"/>
          <w:szCs w:val="32"/>
          <w:highlight w:val="none"/>
          <w:shd w:val="clear" w:color="auto" w:fill="FFFFFF"/>
          <w:lang w:eastAsia="zh-CN"/>
        </w:rPr>
        <w:t>于</w:t>
      </w:r>
      <w:r>
        <w:rPr>
          <w:rFonts w:hint="eastAsia" w:ascii="仿宋" w:hAnsi="仿宋" w:eastAsia="仿宋" w:cs="仿宋_GB2312"/>
          <w:color w:val="000000"/>
          <w:sz w:val="32"/>
          <w:szCs w:val="32"/>
          <w:highlight w:val="none"/>
          <w:shd w:val="clear" w:color="auto" w:fill="FFFFFF"/>
          <w:lang w:val="en-US" w:eastAsia="zh-CN"/>
        </w:rPr>
        <w:t>2022年</w:t>
      </w:r>
      <w:r>
        <w:rPr>
          <w:rFonts w:hint="eastAsia" w:ascii="仿宋" w:hAnsi="仿宋" w:eastAsia="仿宋" w:cs="仿宋_GB2312"/>
          <w:color w:val="000000"/>
          <w:sz w:val="32"/>
          <w:szCs w:val="32"/>
          <w:highlight w:val="none"/>
          <w:shd w:val="clear" w:color="auto" w:fill="FFFFFF"/>
          <w:lang w:val="en-US"/>
        </w:rPr>
        <w:t>4</w:t>
      </w:r>
      <w:r>
        <w:rPr>
          <w:rFonts w:hint="eastAsia" w:ascii="仿宋" w:hAnsi="仿宋" w:eastAsia="仿宋" w:cs="仿宋_GB2312"/>
          <w:color w:val="000000"/>
          <w:sz w:val="32"/>
          <w:szCs w:val="32"/>
          <w:highlight w:val="none"/>
          <w:shd w:val="clear" w:color="auto" w:fill="FFFFFF"/>
        </w:rPr>
        <w:t>月</w:t>
      </w:r>
      <w:r>
        <w:rPr>
          <w:rFonts w:hint="eastAsia" w:ascii="仿宋" w:hAnsi="仿宋" w:eastAsia="仿宋" w:cs="仿宋_GB2312"/>
          <w:color w:val="000000"/>
          <w:sz w:val="32"/>
          <w:szCs w:val="32"/>
          <w:highlight w:val="none"/>
          <w:shd w:val="clear" w:color="auto" w:fill="FFFFFF"/>
          <w:lang w:val="en-US"/>
        </w:rPr>
        <w:t>20</w:t>
      </w:r>
      <w:r>
        <w:rPr>
          <w:rFonts w:hint="eastAsia" w:ascii="仿宋" w:hAnsi="仿宋" w:eastAsia="仿宋" w:cs="仿宋_GB2312"/>
          <w:color w:val="000000"/>
          <w:sz w:val="32"/>
          <w:szCs w:val="32"/>
          <w:highlight w:val="none"/>
          <w:shd w:val="clear" w:color="auto" w:fill="FFFFFF"/>
        </w:rPr>
        <w:t>日修订通过。</w:t>
      </w:r>
      <w:r>
        <w:rPr>
          <w:rFonts w:hint="eastAsia" w:ascii="仿宋" w:hAnsi="仿宋" w:eastAsia="仿宋" w:cs="仿宋_GB2312"/>
          <w:color w:val="000000"/>
          <w:sz w:val="32"/>
          <w:szCs w:val="32"/>
          <w:highlight w:val="none"/>
          <w:shd w:val="clear" w:color="auto" w:fill="FFFFFF"/>
          <w:lang w:eastAsia="zh-CN"/>
        </w:rPr>
        <w:t>当前，我市</w:t>
      </w:r>
      <w:r>
        <w:rPr>
          <w:rFonts w:hint="eastAsia" w:ascii="仿宋" w:hAnsi="仿宋" w:eastAsia="仿宋" w:cs="仿宋_GB2312"/>
          <w:color w:val="000000"/>
          <w:sz w:val="32"/>
          <w:szCs w:val="32"/>
          <w:highlight w:val="none"/>
          <w:shd w:val="clear" w:color="auto" w:fill="FFFFFF"/>
          <w:lang w:val="en-US" w:eastAsia="zh-CN"/>
        </w:rPr>
        <w:t>尚未出台职业教育专项法规，</w:t>
      </w:r>
      <w:r>
        <w:rPr>
          <w:rFonts w:hint="eastAsia" w:ascii="仿宋" w:hAnsi="仿宋" w:eastAsia="仿宋" w:cs="仿宋_GB2312"/>
          <w:color w:val="000000"/>
          <w:sz w:val="32"/>
          <w:szCs w:val="32"/>
          <w:highlight w:val="none"/>
          <w:shd w:val="clear" w:color="auto" w:fill="FFFFFF"/>
          <w:lang w:eastAsia="zh-CN"/>
        </w:rPr>
        <w:t>职业教育相关</w:t>
      </w:r>
      <w:r>
        <w:rPr>
          <w:rFonts w:hint="eastAsia" w:ascii="仿宋" w:hAnsi="仿宋" w:eastAsia="仿宋" w:cs="仿宋_GB2312"/>
          <w:color w:val="000000"/>
          <w:sz w:val="32"/>
          <w:szCs w:val="32"/>
          <w:highlight w:val="none"/>
          <w:shd w:val="clear" w:color="auto" w:fill="FFFFFF"/>
        </w:rPr>
        <w:t>政策主要是规范性文件，效力层级较低，且刚性不足，统筹规划力度偏弱，体系建设缺乏整体性和连续性，</w:t>
      </w:r>
      <w:r>
        <w:rPr>
          <w:rFonts w:hint="eastAsia" w:ascii="仿宋" w:hAnsi="仿宋" w:eastAsia="仿宋" w:cs="仿宋_GB2312"/>
          <w:color w:val="000000"/>
          <w:sz w:val="32"/>
          <w:szCs w:val="32"/>
          <w:highlight w:val="none"/>
          <w:shd w:val="clear" w:color="auto" w:fill="FFFFFF"/>
          <w:lang w:eastAsia="zh-CN"/>
        </w:rPr>
        <w:t>难以</w:t>
      </w:r>
      <w:r>
        <w:rPr>
          <w:rFonts w:hint="eastAsia" w:ascii="仿宋" w:hAnsi="仿宋" w:eastAsia="仿宋" w:cs="仿宋_GB2312"/>
          <w:color w:val="000000"/>
          <w:sz w:val="32"/>
          <w:szCs w:val="32"/>
          <w:highlight w:val="none"/>
          <w:shd w:val="clear" w:color="auto" w:fill="FFFFFF"/>
        </w:rPr>
        <w:t>适应新形势下</w:t>
      </w:r>
      <w:r>
        <w:rPr>
          <w:rStyle w:val="11"/>
          <w:rFonts w:hint="eastAsia" w:ascii="仿宋_GB2312" w:hAnsi="仿宋_GB2312" w:eastAsia="仿宋_GB2312"/>
          <w:bCs/>
          <w:color w:val="auto"/>
          <w:sz w:val="32"/>
          <w:szCs w:val="32"/>
          <w:highlight w:val="none"/>
          <w:lang w:val="en-US" w:eastAsia="zh-CN"/>
        </w:rPr>
        <w:t>现代职业教育改革发展</w:t>
      </w:r>
      <w:r>
        <w:rPr>
          <w:rFonts w:hint="eastAsia" w:ascii="仿宋" w:hAnsi="仿宋" w:eastAsia="仿宋" w:cs="仿宋_GB2312"/>
          <w:color w:val="000000"/>
          <w:sz w:val="32"/>
          <w:szCs w:val="32"/>
          <w:highlight w:val="none"/>
          <w:shd w:val="clear" w:color="auto" w:fill="FFFFFF"/>
        </w:rPr>
        <w:t>的需要。</w:t>
      </w:r>
      <w:r>
        <w:rPr>
          <w:rFonts w:hint="eastAsia" w:ascii="仿宋" w:hAnsi="仿宋" w:eastAsia="仿宋" w:cs="仿宋_GB2312"/>
          <w:color w:val="000000"/>
          <w:sz w:val="32"/>
          <w:szCs w:val="32"/>
          <w:highlight w:val="none"/>
          <w:shd w:val="clear" w:color="auto" w:fill="FFFFFF"/>
          <w:lang w:eastAsia="zh-CN"/>
        </w:rPr>
        <w:t>因此，深圳迫切需要在衔接上位法以及有关政策要求的基础上，制定一部能够满足新时代职业教育发展需要的地方性法规，为固化实践探索成果，培养知识型、创新型、高素质技术技能人才提供强有力的法治保障。</w:t>
      </w:r>
    </w:p>
    <w:p>
      <w:pPr>
        <w:keepNext w:val="0"/>
        <w:keepLines w:val="0"/>
        <w:pageBreakBefore w:val="0"/>
        <w:widowControl w:val="0"/>
        <w:kinsoku/>
        <w:wordWrap/>
        <w:overflowPunct w:val="0"/>
        <w:topLinePunct w:val="0"/>
        <w:bidi w:val="0"/>
        <w:adjustRightInd w:val="0"/>
        <w:snapToGrid w:val="0"/>
        <w:spacing w:line="560" w:lineRule="exact"/>
        <w:ind w:left="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Style w:val="11"/>
          <w:rFonts w:hint="eastAsia" w:ascii="楷体_GB2312" w:hAnsi="楷体_GB2312" w:eastAsia="楷体_GB2312" w:cs="楷体_GB2312"/>
          <w:b w:val="0"/>
          <w:bCs/>
          <w:color w:val="auto"/>
          <w:sz w:val="32"/>
          <w:szCs w:val="32"/>
          <w:highlight w:val="none"/>
          <w:lang w:eastAsia="zh-Hans"/>
        </w:rPr>
        <w:t>（</w:t>
      </w:r>
      <w:r>
        <w:rPr>
          <w:rStyle w:val="11"/>
          <w:rFonts w:hint="eastAsia" w:ascii="楷体_GB2312" w:hAnsi="楷体_GB2312" w:eastAsia="楷体_GB2312" w:cs="楷体_GB2312"/>
          <w:b w:val="0"/>
          <w:bCs/>
          <w:color w:val="auto"/>
          <w:sz w:val="32"/>
          <w:szCs w:val="32"/>
          <w:highlight w:val="none"/>
          <w:lang w:eastAsia="zh-CN"/>
        </w:rPr>
        <w:t>三</w:t>
      </w:r>
      <w:r>
        <w:rPr>
          <w:rStyle w:val="11"/>
          <w:rFonts w:hint="eastAsia" w:ascii="楷体_GB2312" w:hAnsi="楷体_GB2312" w:eastAsia="楷体_GB2312" w:cs="楷体_GB2312"/>
          <w:b w:val="0"/>
          <w:bCs/>
          <w:color w:val="auto"/>
          <w:sz w:val="32"/>
          <w:szCs w:val="32"/>
          <w:highlight w:val="none"/>
          <w:lang w:eastAsia="zh-Hans"/>
        </w:rPr>
        <w:t>）</w:t>
      </w:r>
      <w:r>
        <w:rPr>
          <w:rStyle w:val="11"/>
          <w:rFonts w:hint="default" w:ascii="楷体_GB2312" w:hAnsi="楷体_GB2312" w:eastAsia="楷体_GB2312" w:cs="楷体_GB2312"/>
          <w:b w:val="0"/>
          <w:bCs/>
          <w:color w:val="auto"/>
          <w:sz w:val="32"/>
          <w:szCs w:val="32"/>
          <w:highlight w:val="none"/>
          <w:lang w:eastAsia="zh-Hans"/>
        </w:rPr>
        <w:t>制定条例</w:t>
      </w:r>
      <w:r>
        <w:rPr>
          <w:rStyle w:val="11"/>
          <w:rFonts w:hint="eastAsia" w:ascii="楷体_GB2312" w:hAnsi="楷体_GB2312" w:eastAsia="楷体_GB2312" w:cs="楷体_GB2312"/>
          <w:b w:val="0"/>
          <w:bCs/>
          <w:color w:val="auto"/>
          <w:sz w:val="32"/>
          <w:szCs w:val="32"/>
          <w:highlight w:val="none"/>
          <w:lang w:eastAsia="zh-Hans"/>
        </w:rPr>
        <w:t>是</w:t>
      </w:r>
      <w:r>
        <w:rPr>
          <w:rFonts w:hint="eastAsia" w:ascii="楷体_GB2312" w:hAnsi="楷体_GB2312" w:eastAsia="楷体_GB2312" w:cs="楷体_GB2312"/>
          <w:b w:val="0"/>
          <w:bCs/>
          <w:color w:val="000000"/>
          <w:sz w:val="32"/>
          <w:szCs w:val="32"/>
          <w:highlight w:val="none"/>
          <w:lang w:eastAsia="zh-CN"/>
        </w:rPr>
        <w:t>解决职业教育发展难题，</w:t>
      </w:r>
      <w:r>
        <w:rPr>
          <w:rFonts w:hint="eastAsia" w:ascii="楷体_GB2312" w:hAnsi="楷体_GB2312" w:eastAsia="楷体_GB2312" w:cs="楷体_GB2312"/>
          <w:b w:val="0"/>
          <w:bCs/>
          <w:color w:val="000000"/>
          <w:sz w:val="32"/>
          <w:szCs w:val="32"/>
          <w:highlight w:val="none"/>
          <w:lang w:val="zh-CN" w:eastAsia="zh-CN"/>
        </w:rPr>
        <w:t>激发职业教育创新发展活力</w:t>
      </w:r>
      <w:r>
        <w:rPr>
          <w:rFonts w:hint="eastAsia" w:ascii="楷体_GB2312" w:hAnsi="楷体_GB2312" w:eastAsia="楷体_GB2312" w:cs="楷体_GB2312"/>
          <w:b w:val="0"/>
          <w:bCs/>
          <w:color w:val="000000"/>
          <w:sz w:val="32"/>
          <w:szCs w:val="32"/>
          <w:highlight w:val="none"/>
          <w:lang w:eastAsia="zh-CN"/>
        </w:rPr>
        <w:t>的需要。</w:t>
      </w:r>
    </w:p>
    <w:p>
      <w:pPr>
        <w:pStyle w:val="14"/>
        <w:keepNext w:val="0"/>
        <w:keepLines w:val="0"/>
        <w:pageBreakBefore w:val="0"/>
        <w:widowControl w:val="0"/>
        <w:kinsoku/>
        <w:wordWrap/>
        <w:overflowPunct/>
        <w:topLinePunct w:val="0"/>
        <w:autoSpaceDN w:val="0"/>
        <w:bidi w:val="0"/>
        <w:adjustRightInd/>
        <w:snapToGrid/>
        <w:spacing w:after="0" w:line="560" w:lineRule="exact"/>
        <w:ind w:firstLine="640" w:firstLineChars="200"/>
        <w:jc w:val="both"/>
        <w:textAlignment w:val="auto"/>
        <w:rPr>
          <w:rFonts w:hint="eastAsia" w:ascii="仿宋" w:hAnsi="仿宋" w:eastAsia="仿宋"/>
          <w:sz w:val="32"/>
          <w:szCs w:val="32"/>
          <w:highlight w:val="none"/>
          <w:lang w:val="zh-CN"/>
        </w:rPr>
      </w:pPr>
      <w:r>
        <w:rPr>
          <w:rFonts w:hint="eastAsia" w:ascii="仿宋" w:hAnsi="仿宋" w:eastAsia="仿宋"/>
          <w:sz w:val="32"/>
          <w:szCs w:val="32"/>
          <w:highlight w:val="none"/>
        </w:rPr>
        <w:t>我市职业教育事业经过多年发展，政策保障体系不断完善，教育经费投入持续加大，办学质量水平</w:t>
      </w:r>
      <w:r>
        <w:rPr>
          <w:rFonts w:hint="eastAsia" w:ascii="仿宋" w:hAnsi="仿宋" w:eastAsia="仿宋"/>
          <w:sz w:val="32"/>
          <w:szCs w:val="32"/>
          <w:highlight w:val="none"/>
          <w:lang w:eastAsia="zh-CN"/>
        </w:rPr>
        <w:t>不断</w:t>
      </w:r>
      <w:r>
        <w:rPr>
          <w:rFonts w:hint="eastAsia" w:ascii="仿宋" w:hAnsi="仿宋" w:eastAsia="仿宋"/>
          <w:sz w:val="32"/>
          <w:szCs w:val="32"/>
          <w:highlight w:val="none"/>
        </w:rPr>
        <w:t>提升，专业人才培养成效明显</w:t>
      </w:r>
      <w:r>
        <w:rPr>
          <w:rStyle w:val="11"/>
          <w:rFonts w:hint="eastAsia" w:ascii="仿宋_GB2312" w:hAnsi="仿宋_GB2312" w:eastAsia="仿宋_GB2312" w:cs="Times New Roman"/>
          <w:color w:val="auto"/>
          <w:kern w:val="0"/>
          <w:sz w:val="32"/>
          <w:szCs w:val="32"/>
          <w:highlight w:val="none"/>
          <w:lang w:val="en-US" w:eastAsia="zh-CN" w:bidi="ar-SA"/>
        </w:rPr>
        <w:t>，但</w:t>
      </w:r>
      <w:r>
        <w:rPr>
          <w:rStyle w:val="11"/>
          <w:rFonts w:hint="eastAsia" w:ascii="仿宋_GB2312" w:hAnsi="仿宋_GB2312" w:eastAsia="仿宋_GB2312" w:cs="Times New Roman"/>
          <w:bCs/>
          <w:color w:val="auto"/>
          <w:kern w:val="2"/>
          <w:sz w:val="32"/>
          <w:szCs w:val="32"/>
          <w:highlight w:val="none"/>
          <w:lang w:val="en-US" w:eastAsia="zh-CN" w:bidi="ar-SA"/>
        </w:rPr>
        <w:t>仍存在制约进一步高质量发展的</w:t>
      </w:r>
      <w:r>
        <w:rPr>
          <w:rStyle w:val="11"/>
          <w:rFonts w:hint="default" w:ascii="仿宋_GB2312" w:hAnsi="仿宋_GB2312" w:eastAsia="仿宋_GB2312" w:cs="Times New Roman"/>
          <w:bCs/>
          <w:color w:val="auto"/>
          <w:kern w:val="2"/>
          <w:sz w:val="32"/>
          <w:szCs w:val="32"/>
          <w:highlight w:val="none"/>
          <w:lang w:eastAsia="zh-CN" w:bidi="ar-SA"/>
        </w:rPr>
        <w:t>难点堵点</w:t>
      </w:r>
      <w:r>
        <w:rPr>
          <w:rStyle w:val="11"/>
          <w:rFonts w:hint="eastAsia" w:ascii="仿宋_GB2312" w:hAnsi="仿宋_GB2312" w:eastAsia="仿宋_GB2312" w:cs="Times New Roman"/>
          <w:bCs/>
          <w:color w:val="auto"/>
          <w:kern w:val="2"/>
          <w:sz w:val="32"/>
          <w:szCs w:val="32"/>
          <w:highlight w:val="none"/>
          <w:lang w:val="en-US" w:eastAsia="zh-CN" w:bidi="ar-SA"/>
        </w:rPr>
        <w:t>问题。</w:t>
      </w:r>
      <w:r>
        <w:rPr>
          <w:rStyle w:val="11"/>
          <w:rFonts w:hint="eastAsia" w:ascii="仿宋_GB2312" w:hAnsi="仿宋_GB2312" w:eastAsia="仿宋_GB2312" w:cs="仿宋_GB2312"/>
          <w:color w:val="auto"/>
          <w:kern w:val="2"/>
          <w:sz w:val="32"/>
          <w:szCs w:val="32"/>
          <w:highlight w:val="none"/>
          <w:lang w:val="en-US" w:eastAsia="zh-CN" w:bidi="ar-SA"/>
        </w:rPr>
        <w:t>一是中高职贯通培养、课程体系衔接不顺畅；二是</w:t>
      </w:r>
      <w:r>
        <w:rPr>
          <w:rFonts w:hint="eastAsia" w:ascii="仿宋" w:hAnsi="仿宋" w:eastAsia="仿宋"/>
          <w:sz w:val="32"/>
          <w:szCs w:val="32"/>
          <w:highlight w:val="none"/>
        </w:rPr>
        <w:t>深化产教融合和校企合作</w:t>
      </w:r>
      <w:r>
        <w:rPr>
          <w:rFonts w:hint="eastAsia" w:ascii="仿宋" w:hAnsi="仿宋" w:eastAsia="仿宋"/>
          <w:sz w:val="32"/>
          <w:szCs w:val="32"/>
          <w:highlight w:val="none"/>
          <w:lang w:eastAsia="zh-CN"/>
        </w:rPr>
        <w:t>的</w:t>
      </w:r>
      <w:r>
        <w:rPr>
          <w:rFonts w:hint="eastAsia" w:ascii="仿宋" w:hAnsi="仿宋" w:eastAsia="仿宋"/>
          <w:sz w:val="32"/>
          <w:szCs w:val="32"/>
          <w:highlight w:val="none"/>
        </w:rPr>
        <w:t>激励</w:t>
      </w:r>
      <w:r>
        <w:rPr>
          <w:rFonts w:hint="eastAsia" w:ascii="仿宋" w:hAnsi="仿宋" w:eastAsia="仿宋"/>
          <w:sz w:val="32"/>
          <w:szCs w:val="32"/>
          <w:highlight w:val="none"/>
          <w:lang w:eastAsia="zh-CN"/>
        </w:rPr>
        <w:t>措施不足；</w:t>
      </w:r>
      <w:r>
        <w:rPr>
          <w:rStyle w:val="11"/>
          <w:rFonts w:hint="eastAsia" w:ascii="仿宋_GB2312" w:hAnsi="仿宋_GB2312" w:eastAsia="仿宋_GB2312" w:cs="仿宋_GB2312"/>
          <w:color w:val="auto"/>
          <w:kern w:val="2"/>
          <w:sz w:val="32"/>
          <w:szCs w:val="32"/>
          <w:highlight w:val="none"/>
          <w:lang w:val="en-US" w:eastAsia="zh-CN" w:bidi="ar-SA"/>
        </w:rPr>
        <w:t>三是职业院校教师队伍建设水平有待提高；四是高层次技术技能人才供给不足。</w:t>
      </w:r>
      <w:r>
        <w:rPr>
          <w:rFonts w:hint="eastAsia" w:ascii="仿宋" w:hAnsi="仿宋" w:eastAsia="仿宋"/>
          <w:sz w:val="32"/>
          <w:szCs w:val="32"/>
          <w:highlight w:val="none"/>
        </w:rPr>
        <w:t>因此，亟需通过立法</w:t>
      </w:r>
      <w:r>
        <w:rPr>
          <w:rStyle w:val="11"/>
          <w:rFonts w:hint="eastAsia" w:ascii="仿宋_GB2312" w:hAnsi="仿宋_GB2312" w:eastAsia="仿宋_GB2312" w:cs="仿宋_GB2312"/>
          <w:color w:val="auto"/>
          <w:kern w:val="2"/>
          <w:sz w:val="32"/>
          <w:szCs w:val="32"/>
          <w:highlight w:val="none"/>
          <w:lang w:val="en-US" w:eastAsia="zh-CN" w:bidi="ar-SA"/>
        </w:rPr>
        <w:t>完善职业教育体系，解决制约</w:t>
      </w:r>
      <w:r>
        <w:rPr>
          <w:rStyle w:val="11"/>
          <w:rFonts w:hint="default" w:ascii="仿宋_GB2312" w:hAnsi="仿宋_GB2312" w:eastAsia="仿宋_GB2312" w:cs="仿宋_GB2312"/>
          <w:color w:val="auto"/>
          <w:kern w:val="2"/>
          <w:sz w:val="32"/>
          <w:szCs w:val="32"/>
          <w:highlight w:val="none"/>
          <w:lang w:val="en-US" w:eastAsia="zh-CN" w:bidi="ar-SA"/>
        </w:rPr>
        <w:t>深圳</w:t>
      </w:r>
      <w:r>
        <w:rPr>
          <w:rStyle w:val="11"/>
          <w:rFonts w:hint="eastAsia" w:ascii="仿宋_GB2312" w:hAnsi="仿宋_GB2312" w:eastAsia="仿宋_GB2312" w:cs="仿宋_GB2312"/>
          <w:color w:val="auto"/>
          <w:kern w:val="2"/>
          <w:sz w:val="32"/>
          <w:szCs w:val="32"/>
          <w:highlight w:val="none"/>
          <w:lang w:val="en-US" w:eastAsia="zh-CN" w:bidi="ar-SA"/>
        </w:rPr>
        <w:t>职业教育发展的难点和短板问题，</w:t>
      </w:r>
      <w:r>
        <w:rPr>
          <w:rFonts w:hint="eastAsia" w:ascii="仿宋" w:hAnsi="仿宋" w:eastAsia="仿宋"/>
          <w:sz w:val="32"/>
          <w:szCs w:val="32"/>
          <w:highlight w:val="none"/>
        </w:rPr>
        <w:t>提升职业教育办学层次</w:t>
      </w:r>
      <w:r>
        <w:rPr>
          <w:rFonts w:hint="eastAsia" w:ascii="仿宋" w:hAnsi="仿宋" w:eastAsia="仿宋"/>
          <w:sz w:val="32"/>
          <w:szCs w:val="32"/>
          <w:highlight w:val="none"/>
          <w:lang w:eastAsia="zh-CN"/>
        </w:rPr>
        <w:t>，</w:t>
      </w:r>
      <w:r>
        <w:rPr>
          <w:rFonts w:hint="eastAsia" w:ascii="仿宋" w:hAnsi="仿宋" w:eastAsia="仿宋"/>
          <w:sz w:val="32"/>
          <w:szCs w:val="32"/>
          <w:highlight w:val="none"/>
        </w:rPr>
        <w:t>推进职技融通取得实质性进展</w:t>
      </w:r>
      <w:r>
        <w:rPr>
          <w:rFonts w:hint="eastAsia" w:ascii="仿宋" w:hAnsi="仿宋" w:eastAsia="仿宋"/>
          <w:sz w:val="32"/>
          <w:szCs w:val="32"/>
          <w:highlight w:val="none"/>
          <w:lang w:eastAsia="zh-CN"/>
        </w:rPr>
        <w:t>，</w:t>
      </w:r>
      <w:r>
        <w:rPr>
          <w:rFonts w:hint="eastAsia" w:ascii="仿宋" w:hAnsi="仿宋" w:eastAsia="仿宋"/>
          <w:sz w:val="32"/>
          <w:szCs w:val="32"/>
          <w:highlight w:val="none"/>
        </w:rPr>
        <w:t>促进职普融通创新发展</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zh-CN"/>
        </w:rPr>
        <w:t>增强职业教育适应性，激发职业教育创新发展和高质量发展活力。</w:t>
      </w:r>
    </w:p>
    <w:p>
      <w:pPr>
        <w:pStyle w:val="14"/>
        <w:keepNext w:val="0"/>
        <w:keepLines w:val="0"/>
        <w:pageBreakBefore w:val="0"/>
        <w:widowControl w:val="0"/>
        <w:kinsoku/>
        <w:wordWrap/>
        <w:overflowPunct/>
        <w:topLinePunct w:val="0"/>
        <w:autoSpaceDN w:val="0"/>
        <w:bidi w:val="0"/>
        <w:adjustRightInd/>
        <w:snapToGrid/>
        <w:spacing w:line="560" w:lineRule="exact"/>
        <w:ind w:firstLine="693"/>
        <w:textAlignment w:val="auto"/>
        <w:rPr>
          <w:rStyle w:val="11"/>
          <w:rFonts w:ascii="黑体" w:hAnsi="黑体" w:eastAsia="黑体" w:cs="仿宋"/>
          <w:color w:val="auto"/>
          <w:sz w:val="32"/>
          <w:szCs w:val="32"/>
          <w:highlight w:val="none"/>
          <w:lang w:val="en"/>
        </w:rPr>
      </w:pPr>
      <w:r>
        <w:rPr>
          <w:rStyle w:val="11"/>
          <w:rFonts w:hint="eastAsia" w:ascii="黑体" w:hAnsi="黑体" w:eastAsia="黑体" w:cs="Calibri"/>
          <w:color w:val="auto"/>
          <w:sz w:val="32"/>
          <w:szCs w:val="32"/>
          <w:highlight w:val="none"/>
          <w:lang w:eastAsia="zh-CN"/>
        </w:rPr>
        <w:t>二、主要内容</w:t>
      </w:r>
    </w:p>
    <w:p>
      <w:pPr>
        <w:pStyle w:val="14"/>
        <w:keepNext w:val="0"/>
        <w:keepLines w:val="0"/>
        <w:pageBreakBefore w:val="0"/>
        <w:widowControl w:val="0"/>
        <w:kinsoku/>
        <w:wordWrap/>
        <w:overflowPunct/>
        <w:topLinePunct w:val="0"/>
        <w:autoSpaceDN w:val="0"/>
        <w:bidi w:val="0"/>
        <w:adjustRightInd/>
        <w:snapToGrid/>
        <w:spacing w:line="560" w:lineRule="exact"/>
        <w:ind w:firstLine="640"/>
        <w:textAlignment w:val="auto"/>
        <w:rPr>
          <w:rStyle w:val="11"/>
          <w:rFonts w:ascii="仿宋_GB2312" w:hAnsi="仿宋_GB2312" w:eastAsia="仿宋_GB2312" w:cs="仿宋_GB2312"/>
          <w:color w:val="auto"/>
          <w:sz w:val="32"/>
          <w:szCs w:val="32"/>
          <w:highlight w:val="none"/>
        </w:rPr>
      </w:pPr>
      <w:r>
        <w:rPr>
          <w:rStyle w:val="11"/>
          <w:rFonts w:hint="eastAsia" w:ascii="仿宋_GB2312" w:hAnsi="仿宋_GB2312" w:eastAsia="仿宋_GB2312" w:cs="仿宋_GB2312"/>
          <w:color w:val="auto"/>
          <w:sz w:val="32"/>
          <w:szCs w:val="32"/>
          <w:highlight w:val="none"/>
          <w:lang w:eastAsia="zh-CN"/>
        </w:rPr>
        <w:t>《条例（草案）》</w:t>
      </w:r>
      <w:r>
        <w:rPr>
          <w:rStyle w:val="11"/>
          <w:rFonts w:hint="default" w:ascii="仿宋_GB2312" w:hAnsi="仿宋_GB2312" w:eastAsia="仿宋_GB2312" w:cs="仿宋_GB2312"/>
          <w:color w:val="auto"/>
          <w:sz w:val="32"/>
          <w:szCs w:val="32"/>
          <w:highlight w:val="none"/>
        </w:rPr>
        <w:t>分为</w:t>
      </w:r>
      <w:r>
        <w:rPr>
          <w:rStyle w:val="11"/>
          <w:rFonts w:hint="eastAsia" w:ascii="仿宋_GB2312" w:hAnsi="仿宋_GB2312" w:eastAsia="仿宋_GB2312" w:cs="仿宋_GB2312"/>
          <w:color w:val="auto"/>
          <w:sz w:val="32"/>
          <w:szCs w:val="32"/>
          <w:highlight w:val="none"/>
          <w:lang w:val="en-US" w:eastAsia="zh-CN"/>
        </w:rPr>
        <w:t>八</w:t>
      </w:r>
      <w:r>
        <w:rPr>
          <w:rStyle w:val="11"/>
          <w:rFonts w:hint="default" w:ascii="仿宋_GB2312" w:hAnsi="仿宋_GB2312" w:eastAsia="仿宋_GB2312" w:cs="仿宋_GB2312"/>
          <w:color w:val="auto"/>
          <w:sz w:val="32"/>
          <w:szCs w:val="32"/>
          <w:highlight w:val="none"/>
        </w:rPr>
        <w:t>章，</w:t>
      </w:r>
      <w:r>
        <w:rPr>
          <w:rStyle w:val="11"/>
          <w:rFonts w:hint="eastAsia" w:ascii="仿宋_GB2312" w:hAnsi="仿宋_GB2312" w:eastAsia="仿宋_GB2312" w:cs="仿宋_GB2312"/>
          <w:color w:val="auto"/>
          <w:sz w:val="32"/>
          <w:szCs w:val="32"/>
          <w:highlight w:val="none"/>
        </w:rPr>
        <w:t>包括总则、</w:t>
      </w:r>
      <w:r>
        <w:rPr>
          <w:rStyle w:val="11"/>
          <w:rFonts w:hint="eastAsia" w:ascii="仿宋_GB2312" w:hAnsi="Times New Roman" w:eastAsia="仿宋_GB2312"/>
          <w:color w:val="auto"/>
          <w:sz w:val="32"/>
          <w:szCs w:val="32"/>
          <w:highlight w:val="none"/>
        </w:rPr>
        <w:t>职业学校教育、职业培训、教师与受教育者、产教融合、开放合作与交流、职业教育保障、</w:t>
      </w:r>
      <w:r>
        <w:rPr>
          <w:rStyle w:val="11"/>
          <w:rFonts w:hint="eastAsia" w:ascii="仿宋_GB2312" w:hAnsi="仿宋_GB2312" w:eastAsia="仿宋_GB2312" w:cs="仿宋_GB2312"/>
          <w:color w:val="auto"/>
          <w:sz w:val="32"/>
          <w:szCs w:val="32"/>
          <w:highlight w:val="none"/>
        </w:rPr>
        <w:t>附则</w:t>
      </w:r>
      <w:r>
        <w:rPr>
          <w:rStyle w:val="11"/>
          <w:rFonts w:hint="default" w:ascii="仿宋_GB2312" w:hAnsi="仿宋_GB2312" w:eastAsia="仿宋_GB2312" w:cs="仿宋_GB2312"/>
          <w:color w:val="auto"/>
          <w:sz w:val="32"/>
          <w:szCs w:val="32"/>
          <w:highlight w:val="none"/>
        </w:rPr>
        <w:t>共计</w:t>
      </w:r>
      <w:r>
        <w:rPr>
          <w:rStyle w:val="11"/>
          <w:rFonts w:hint="eastAsia" w:ascii="仿宋_GB2312" w:hAnsi="仿宋_GB2312" w:eastAsia="仿宋_GB2312" w:cs="仿宋_GB2312"/>
          <w:color w:val="auto"/>
          <w:sz w:val="32"/>
          <w:szCs w:val="32"/>
          <w:highlight w:val="none"/>
          <w:lang w:val="en-US" w:eastAsia="zh-CN"/>
        </w:rPr>
        <w:t>六十八</w:t>
      </w:r>
      <w:r>
        <w:rPr>
          <w:rStyle w:val="11"/>
          <w:rFonts w:hint="default" w:ascii="仿宋_GB2312" w:hAnsi="仿宋_GB2312" w:eastAsia="仿宋_GB2312" w:cs="仿宋_GB2312"/>
          <w:color w:val="auto"/>
          <w:sz w:val="32"/>
          <w:szCs w:val="32"/>
          <w:highlight w:val="none"/>
        </w:rPr>
        <w:t>条</w:t>
      </w:r>
      <w:r>
        <w:rPr>
          <w:rStyle w:val="11"/>
          <w:rFonts w:hint="eastAsia" w:ascii="仿宋_GB2312" w:hAnsi="仿宋_GB2312" w:eastAsia="仿宋_GB2312" w:cs="仿宋_GB2312"/>
          <w:color w:val="auto"/>
          <w:sz w:val="32"/>
          <w:szCs w:val="32"/>
          <w:highlight w:val="none"/>
        </w:rPr>
        <w:t>。</w:t>
      </w:r>
    </w:p>
    <w:p>
      <w:pPr>
        <w:pStyle w:val="14"/>
        <w:keepNext w:val="0"/>
        <w:keepLines w:val="0"/>
        <w:pageBreakBefore w:val="0"/>
        <w:widowControl w:val="0"/>
        <w:kinsoku/>
        <w:wordWrap/>
        <w:overflowPunct/>
        <w:topLinePunct w:val="0"/>
        <w:autoSpaceDN w:val="0"/>
        <w:bidi w:val="0"/>
        <w:adjustRightInd/>
        <w:snapToGrid/>
        <w:spacing w:line="560" w:lineRule="exact"/>
        <w:ind w:firstLine="640" w:firstLineChars="200"/>
        <w:jc w:val="both"/>
        <w:textAlignment w:val="auto"/>
        <w:rPr>
          <w:rStyle w:val="11"/>
          <w:rFonts w:hint="eastAsia" w:ascii="楷体_GB2312" w:hAnsi="楷体_GB2312" w:eastAsia="楷体_GB2312" w:cs="楷体_GB2312"/>
          <w:b w:val="0"/>
          <w:bCs/>
          <w:color w:val="auto"/>
          <w:sz w:val="32"/>
          <w:szCs w:val="32"/>
          <w:highlight w:val="none"/>
        </w:rPr>
      </w:pPr>
      <w:r>
        <w:rPr>
          <w:rStyle w:val="11"/>
          <w:rFonts w:hint="eastAsia" w:ascii="楷体_GB2312" w:hAnsi="楷体_GB2312" w:eastAsia="楷体_GB2312" w:cs="楷体_GB2312"/>
          <w:b w:val="0"/>
          <w:bCs/>
          <w:color w:val="auto"/>
          <w:sz w:val="32"/>
          <w:szCs w:val="32"/>
          <w:highlight w:val="none"/>
          <w:lang w:eastAsia="zh-CN"/>
        </w:rPr>
        <w:t>（一）</w:t>
      </w:r>
      <w:r>
        <w:rPr>
          <w:rStyle w:val="11"/>
          <w:rFonts w:hint="eastAsia" w:ascii="楷体_GB2312" w:hAnsi="楷体_GB2312" w:eastAsia="楷体_GB2312" w:cs="楷体_GB2312"/>
          <w:b w:val="0"/>
          <w:bCs/>
          <w:color w:val="auto"/>
          <w:sz w:val="32"/>
          <w:szCs w:val="32"/>
          <w:highlight w:val="none"/>
        </w:rPr>
        <w:t>贯通培养打开中高职一体化育人新局面。</w:t>
      </w:r>
    </w:p>
    <w:p>
      <w:pPr>
        <w:pStyle w:val="14"/>
        <w:keepNext w:val="0"/>
        <w:keepLines w:val="0"/>
        <w:pageBreakBefore w:val="0"/>
        <w:widowControl w:val="0"/>
        <w:kinsoku/>
        <w:wordWrap/>
        <w:overflowPunct/>
        <w:topLinePunct w:val="0"/>
        <w:autoSpaceDN w:val="0"/>
        <w:bidi w:val="0"/>
        <w:adjustRightInd/>
        <w:snapToGrid/>
        <w:spacing w:line="560" w:lineRule="exact"/>
        <w:ind w:firstLine="640" w:firstLineChars="200"/>
        <w:jc w:val="both"/>
        <w:textAlignment w:val="auto"/>
        <w:rPr>
          <w:rStyle w:val="11"/>
          <w:rFonts w:ascii="仿宋_GB2312" w:hAnsi="CESI仿宋-GB2312" w:eastAsia="仿宋_GB2312" w:cs="CESI仿宋-GB2312"/>
          <w:color w:val="auto"/>
          <w:sz w:val="32"/>
          <w:szCs w:val="32"/>
        </w:rPr>
      </w:pPr>
      <w:r>
        <w:rPr>
          <w:rStyle w:val="11"/>
          <w:rFonts w:hint="eastAsia" w:ascii="仿宋_GB2312" w:hAnsi="CESI仿宋-GB2312" w:eastAsia="仿宋_GB2312" w:cs="CESI仿宋-GB2312"/>
          <w:color w:val="auto"/>
          <w:sz w:val="32"/>
          <w:szCs w:val="32"/>
          <w:highlight w:val="none"/>
        </w:rPr>
        <w:t>中等职业</w:t>
      </w:r>
      <w:r>
        <w:rPr>
          <w:rStyle w:val="11"/>
          <w:rFonts w:hint="eastAsia" w:ascii="仿宋_GB2312" w:hAnsi="CESI仿宋-GB2312" w:eastAsia="仿宋_GB2312" w:cs="CESI仿宋-GB2312"/>
          <w:color w:val="auto"/>
          <w:sz w:val="32"/>
          <w:szCs w:val="32"/>
          <w:highlight w:val="none"/>
          <w:lang w:eastAsia="zh-Hans"/>
        </w:rPr>
        <w:t>学校</w:t>
      </w:r>
      <w:r>
        <w:rPr>
          <w:rStyle w:val="11"/>
          <w:rFonts w:hint="eastAsia" w:ascii="仿宋_GB2312" w:hAnsi="CESI仿宋-GB2312" w:eastAsia="仿宋_GB2312" w:cs="CESI仿宋-GB2312"/>
          <w:color w:val="auto"/>
          <w:sz w:val="32"/>
          <w:szCs w:val="32"/>
          <w:highlight w:val="none"/>
        </w:rPr>
        <w:t>教育和高等职业</w:t>
      </w:r>
      <w:r>
        <w:rPr>
          <w:rStyle w:val="11"/>
          <w:rFonts w:hint="eastAsia" w:ascii="仿宋_GB2312" w:hAnsi="CESI仿宋-GB2312" w:eastAsia="仿宋_GB2312" w:cs="CESI仿宋-GB2312"/>
          <w:color w:val="auto"/>
          <w:sz w:val="32"/>
          <w:szCs w:val="32"/>
          <w:highlight w:val="none"/>
          <w:lang w:eastAsia="zh-Hans"/>
        </w:rPr>
        <w:t>学校</w:t>
      </w:r>
      <w:r>
        <w:rPr>
          <w:rStyle w:val="11"/>
          <w:rFonts w:hint="eastAsia" w:ascii="仿宋_GB2312" w:hAnsi="CESI仿宋-GB2312" w:eastAsia="仿宋_GB2312" w:cs="CESI仿宋-GB2312"/>
          <w:color w:val="auto"/>
          <w:sz w:val="32"/>
          <w:szCs w:val="32"/>
          <w:highlight w:val="none"/>
        </w:rPr>
        <w:t>教育均属于职业教育</w:t>
      </w:r>
      <w:r>
        <w:rPr>
          <w:rStyle w:val="11"/>
          <w:rFonts w:ascii="仿宋_GB2312" w:hAnsi="CESI仿宋-GB2312" w:eastAsia="仿宋_GB2312" w:cs="CESI仿宋-GB2312"/>
          <w:color w:val="auto"/>
          <w:sz w:val="32"/>
          <w:szCs w:val="32"/>
          <w:highlight w:val="none"/>
        </w:rPr>
        <w:t>,在招生环节</w:t>
      </w:r>
      <w:r>
        <w:rPr>
          <w:rStyle w:val="11"/>
          <w:rFonts w:hint="eastAsia" w:ascii="仿宋_GB2312" w:hAnsi="CESI仿宋-GB2312" w:eastAsia="仿宋_GB2312" w:cs="CESI仿宋-GB2312"/>
          <w:color w:val="auto"/>
          <w:sz w:val="32"/>
          <w:szCs w:val="32"/>
          <w:highlight w:val="none"/>
          <w:lang w:eastAsia="zh-Hans"/>
        </w:rPr>
        <w:t>应当</w:t>
      </w:r>
      <w:r>
        <w:rPr>
          <w:rStyle w:val="11"/>
          <w:rFonts w:hint="eastAsia" w:ascii="仿宋_GB2312" w:hAnsi="CESI仿宋-GB2312" w:eastAsia="仿宋_GB2312" w:cs="CESI仿宋-GB2312"/>
          <w:color w:val="auto"/>
          <w:sz w:val="32"/>
          <w:szCs w:val="32"/>
          <w:highlight w:val="none"/>
        </w:rPr>
        <w:t>具有统一性</w:t>
      </w:r>
      <w:r>
        <w:rPr>
          <w:rStyle w:val="11"/>
          <w:rFonts w:hint="default" w:ascii="仿宋_GB2312" w:hAnsi="CESI仿宋-GB2312" w:eastAsia="仿宋_GB2312" w:cs="CESI仿宋-GB2312"/>
          <w:color w:val="auto"/>
          <w:sz w:val="32"/>
          <w:szCs w:val="32"/>
          <w:highlight w:val="none"/>
        </w:rPr>
        <w:t>，以保障人才培养的连续性和一体化</w:t>
      </w:r>
      <w:r>
        <w:rPr>
          <w:rStyle w:val="11"/>
          <w:rFonts w:hint="eastAsia" w:ascii="仿宋_GB2312" w:hAnsi="CESI仿宋-GB2312" w:eastAsia="仿宋_GB2312" w:cs="CESI仿宋-GB2312"/>
          <w:color w:val="auto"/>
          <w:sz w:val="32"/>
          <w:szCs w:val="32"/>
          <w:highlight w:val="none"/>
        </w:rPr>
        <w:t>。</w:t>
      </w:r>
      <w:r>
        <w:rPr>
          <w:rStyle w:val="11"/>
          <w:rFonts w:hint="eastAsia" w:ascii="仿宋_GB2312" w:eastAsia="仿宋_GB2312"/>
          <w:color w:val="auto"/>
          <w:sz w:val="32"/>
          <w:szCs w:val="32"/>
          <w:highlight w:val="none"/>
          <w:lang w:eastAsia="zh-CN"/>
        </w:rPr>
        <w:t>《条例（草案）》</w:t>
      </w:r>
      <w:r>
        <w:rPr>
          <w:rStyle w:val="11"/>
          <w:rFonts w:hint="eastAsia" w:ascii="仿宋_GB2312" w:hAnsi="Times New Roman" w:eastAsia="仿宋_GB2312"/>
          <w:color w:val="auto"/>
          <w:sz w:val="32"/>
          <w:szCs w:val="32"/>
          <w:highlight w:val="none"/>
          <w:lang w:eastAsia="zh-Hans"/>
        </w:rPr>
        <w:t>明确</w:t>
      </w:r>
      <w:r>
        <w:rPr>
          <w:rStyle w:val="11"/>
          <w:rFonts w:hint="eastAsia" w:ascii="仿宋_GB2312" w:hAnsi="CESI仿宋-GB2312" w:eastAsia="仿宋_GB2312" w:cs="CESI仿宋-GB2312"/>
          <w:color w:val="auto"/>
          <w:sz w:val="32"/>
          <w:szCs w:val="32"/>
          <w:highlight w:val="none"/>
        </w:rPr>
        <w:t>不同层次职业学校应当合作实施中职、专科、本科、研究生层次的贯通招生和培养，研究开发纵向衔接的专业课程体系（第十九条）。</w:t>
      </w:r>
      <w:r>
        <w:rPr>
          <w:rStyle w:val="11"/>
          <w:rFonts w:hint="eastAsia" w:ascii="仿宋_GB2312" w:hAnsi="Times New Roman" w:eastAsia="仿宋_GB2312"/>
          <w:color w:val="auto"/>
          <w:sz w:val="32"/>
          <w:szCs w:val="32"/>
          <w:highlight w:val="none"/>
        </w:rPr>
        <w:t>同时，</w:t>
      </w:r>
      <w:r>
        <w:rPr>
          <w:rStyle w:val="11"/>
          <w:rFonts w:hint="eastAsia" w:ascii="仿宋_GB2312" w:eastAsia="仿宋_GB2312"/>
          <w:color w:val="auto"/>
          <w:sz w:val="32"/>
          <w:szCs w:val="32"/>
          <w:highlight w:val="none"/>
          <w:lang w:eastAsia="zh-CN"/>
        </w:rPr>
        <w:t>《条例（草案）》</w:t>
      </w:r>
      <w:r>
        <w:rPr>
          <w:rStyle w:val="11"/>
          <w:rFonts w:hint="eastAsia" w:ascii="仿宋_GB2312" w:hAnsi="Times New Roman" w:eastAsia="仿宋_GB2312"/>
          <w:color w:val="auto"/>
          <w:sz w:val="32"/>
          <w:szCs w:val="32"/>
          <w:highlight w:val="none"/>
        </w:rPr>
        <w:t>还规定</w:t>
      </w:r>
      <w:r>
        <w:rPr>
          <w:rStyle w:val="11"/>
          <w:rFonts w:hint="eastAsia" w:ascii="仿宋_GB2312" w:hAnsi="CESI仿宋-GB2312" w:eastAsia="仿宋_GB2312" w:cs="CESI仿宋-GB2312"/>
          <w:color w:val="auto"/>
          <w:sz w:val="32"/>
          <w:szCs w:val="32"/>
          <w:highlight w:val="none"/>
        </w:rPr>
        <w:t>专科层次的职业学校应当逐步扩大对口招收中等职业学校毕业生的规模，本科层次职业学校、实施职业教育的普通高等学校应当将招生计划的一定比例用于招收职业学</w:t>
      </w:r>
      <w:r>
        <w:rPr>
          <w:rStyle w:val="11"/>
          <w:rFonts w:hint="eastAsia" w:ascii="仿宋_GB2312" w:hAnsi="CESI仿宋-GB2312" w:eastAsia="仿宋_GB2312" w:cs="CESI仿宋-GB2312"/>
          <w:color w:val="auto"/>
          <w:sz w:val="32"/>
          <w:szCs w:val="32"/>
        </w:rPr>
        <w:t>校毕业生</w:t>
      </w:r>
      <w:r>
        <w:rPr>
          <w:rStyle w:val="11"/>
          <w:rFonts w:hint="eastAsia" w:ascii="仿宋_GB2312" w:hAnsi="CESI仿宋-GB2312" w:eastAsia="仿宋_GB2312" w:cs="CESI仿宋-GB2312"/>
          <w:color w:val="auto"/>
          <w:sz w:val="32"/>
          <w:szCs w:val="32"/>
          <w:lang w:eastAsia="zh-CN"/>
        </w:rPr>
        <w:t>；</w:t>
      </w:r>
      <w:r>
        <w:rPr>
          <w:rStyle w:val="11"/>
          <w:rFonts w:hint="eastAsia" w:ascii="仿宋_GB2312" w:hAnsi="CESI仿宋-GB2312" w:eastAsia="仿宋_GB2312" w:cs="CESI仿宋-GB2312"/>
          <w:color w:val="auto"/>
          <w:sz w:val="32"/>
          <w:szCs w:val="32"/>
        </w:rPr>
        <w:t>鼓励高校按照国家规定自主招收符合条件的技能大赛优秀选手和有绝技绝艺的社会技术技能人才（第十八条）。通过以上规定，探索中高职衔接贯通的科学</w:t>
      </w:r>
      <w:r>
        <w:rPr>
          <w:rStyle w:val="11"/>
          <w:rFonts w:hint="default" w:ascii="仿宋_GB2312" w:hAnsi="CESI仿宋-GB2312" w:eastAsia="仿宋_GB2312" w:cs="CESI仿宋-GB2312"/>
          <w:color w:val="auto"/>
          <w:sz w:val="32"/>
          <w:szCs w:val="32"/>
        </w:rPr>
        <w:t>培养</w:t>
      </w:r>
      <w:r>
        <w:rPr>
          <w:rStyle w:val="11"/>
          <w:rFonts w:hint="eastAsia" w:ascii="仿宋_GB2312" w:hAnsi="CESI仿宋-GB2312" w:eastAsia="仿宋_GB2312" w:cs="CESI仿宋-GB2312"/>
          <w:color w:val="auto"/>
          <w:sz w:val="32"/>
          <w:szCs w:val="32"/>
        </w:rPr>
        <w:t>方式，</w:t>
      </w:r>
      <w:r>
        <w:rPr>
          <w:rStyle w:val="11"/>
          <w:rFonts w:hint="default" w:ascii="仿宋_GB2312" w:hAnsi="CESI仿宋-GB2312" w:eastAsia="仿宋_GB2312" w:cs="CESI仿宋-GB2312"/>
          <w:color w:val="auto"/>
          <w:sz w:val="32"/>
          <w:szCs w:val="32"/>
        </w:rPr>
        <w:t>拓宽</w:t>
      </w:r>
      <w:r>
        <w:rPr>
          <w:rStyle w:val="11"/>
          <w:rFonts w:hint="eastAsia" w:ascii="仿宋_GB2312" w:hAnsi="CESI仿宋-GB2312" w:eastAsia="仿宋_GB2312" w:cs="CESI仿宋-GB2312"/>
          <w:color w:val="auto"/>
          <w:sz w:val="32"/>
          <w:szCs w:val="32"/>
        </w:rPr>
        <w:t>中职学校毕业生继续升学和深造的</w:t>
      </w:r>
      <w:r>
        <w:rPr>
          <w:rStyle w:val="11"/>
          <w:rFonts w:hint="default" w:ascii="仿宋_GB2312" w:hAnsi="CESI仿宋-GB2312" w:eastAsia="仿宋_GB2312" w:cs="CESI仿宋-GB2312"/>
          <w:color w:val="auto"/>
          <w:sz w:val="32"/>
          <w:szCs w:val="32"/>
        </w:rPr>
        <w:t>通道</w:t>
      </w:r>
      <w:r>
        <w:rPr>
          <w:rStyle w:val="11"/>
          <w:rFonts w:hint="eastAsia" w:ascii="仿宋_GB2312" w:hAnsi="CESI仿宋-GB2312" w:eastAsia="仿宋_GB2312" w:cs="CESI仿宋-GB2312"/>
          <w:color w:val="auto"/>
          <w:sz w:val="32"/>
          <w:szCs w:val="32"/>
        </w:rPr>
        <w:t>。</w:t>
      </w:r>
    </w:p>
    <w:p>
      <w:pPr>
        <w:pStyle w:val="14"/>
        <w:keepNext w:val="0"/>
        <w:keepLines w:val="0"/>
        <w:pageBreakBefore w:val="0"/>
        <w:widowControl w:val="0"/>
        <w:numPr>
          <w:ilvl w:val="0"/>
          <w:numId w:val="0"/>
        </w:numPr>
        <w:kinsoku/>
        <w:wordWrap/>
        <w:overflowPunct/>
        <w:topLinePunct w:val="0"/>
        <w:autoSpaceDN w:val="0"/>
        <w:bidi w:val="0"/>
        <w:adjustRightInd/>
        <w:snapToGrid/>
        <w:spacing w:line="560" w:lineRule="exact"/>
        <w:ind w:firstLine="640" w:firstLineChars="200"/>
        <w:jc w:val="both"/>
        <w:textAlignment w:val="auto"/>
        <w:rPr>
          <w:rStyle w:val="11"/>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（二）</w:t>
      </w:r>
      <w:r>
        <w:rPr>
          <w:rStyle w:val="11"/>
          <w:rFonts w:hint="eastAsia" w:ascii="楷体_GB2312" w:hAnsi="楷体_GB2312" w:eastAsia="楷体_GB2312" w:cs="楷体_GB2312"/>
          <w:b w:val="0"/>
          <w:bCs w:val="0"/>
          <w:color w:val="auto"/>
          <w:sz w:val="32"/>
          <w:szCs w:val="32"/>
          <w:lang w:val="en-US" w:eastAsia="zh-CN"/>
        </w:rPr>
        <w:t>打造全方位产教融合</w:t>
      </w:r>
      <w:r>
        <w:rPr>
          <w:rStyle w:val="11"/>
          <w:rFonts w:hint="default" w:ascii="楷体_GB2312" w:hAnsi="楷体_GB2312" w:eastAsia="楷体_GB2312" w:cs="楷体_GB2312"/>
          <w:b w:val="0"/>
          <w:bCs w:val="0"/>
          <w:color w:val="auto"/>
          <w:sz w:val="32"/>
          <w:szCs w:val="32"/>
          <w:lang w:val="en-US" w:eastAsia="zh-CN"/>
        </w:rPr>
        <w:t>体系</w:t>
      </w:r>
      <w:r>
        <w:rPr>
          <w:rStyle w:val="11"/>
          <w:rFonts w:hint="eastAsia" w:ascii="楷体_GB2312" w:hAnsi="楷体_GB2312" w:eastAsia="楷体_GB2312" w:cs="楷体_GB2312"/>
          <w:b w:val="0"/>
          <w:bCs w:val="0"/>
          <w:color w:val="auto"/>
          <w:sz w:val="32"/>
          <w:szCs w:val="32"/>
          <w:lang w:val="en-US" w:eastAsia="zh-CN"/>
        </w:rPr>
        <w:t>。</w:t>
      </w:r>
    </w:p>
    <w:p>
      <w:pPr>
        <w:pStyle w:val="1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Style w:val="11"/>
          <w:rFonts w:hint="eastAsia" w:ascii="仿宋_GB2312" w:hAnsi="仿宋_GB2312" w:eastAsia="仿宋_GB2312"/>
          <w:b w:val="0"/>
          <w:bCs w:val="0"/>
          <w:color w:val="auto"/>
          <w:sz w:val="32"/>
          <w:szCs w:val="32"/>
        </w:rPr>
      </w:pPr>
      <w:r>
        <w:rPr>
          <w:rStyle w:val="11"/>
          <w:rFonts w:hint="eastAsia" w:ascii="仿宋_GB2312" w:hAnsi="仿宋_GB2312" w:eastAsia="仿宋_GB2312"/>
          <w:b w:val="0"/>
          <w:bCs w:val="0"/>
          <w:color w:val="auto"/>
          <w:sz w:val="32"/>
          <w:szCs w:val="32"/>
        </w:rPr>
        <w:t>为进一步加快教育</w:t>
      </w:r>
      <w:r>
        <w:rPr>
          <w:rStyle w:val="11"/>
          <w:rFonts w:hint="eastAsia" w:ascii="仿宋_GB2312" w:hAnsi="仿宋_GB2312" w:eastAsia="仿宋_GB2312"/>
          <w:b w:val="0"/>
          <w:bCs w:val="0"/>
          <w:color w:val="auto"/>
          <w:sz w:val="32"/>
          <w:szCs w:val="32"/>
          <w:lang w:eastAsia="zh-CN"/>
        </w:rPr>
        <w:t>与</w:t>
      </w:r>
      <w:r>
        <w:rPr>
          <w:rStyle w:val="11"/>
          <w:rFonts w:hint="eastAsia" w:ascii="仿宋_GB2312" w:hAnsi="仿宋_GB2312" w:eastAsia="仿宋_GB2312"/>
          <w:b w:val="0"/>
          <w:bCs w:val="0"/>
          <w:color w:val="auto"/>
          <w:sz w:val="32"/>
          <w:szCs w:val="32"/>
        </w:rPr>
        <w:t>人才</w:t>
      </w:r>
      <w:r>
        <w:rPr>
          <w:rStyle w:val="11"/>
          <w:rFonts w:hint="eastAsia" w:ascii="仿宋_GB2312" w:hAnsi="仿宋_GB2312" w:eastAsia="仿宋_GB2312"/>
          <w:b w:val="0"/>
          <w:bCs w:val="0"/>
          <w:color w:val="auto"/>
          <w:sz w:val="32"/>
          <w:szCs w:val="32"/>
          <w:lang w:eastAsia="zh-CN"/>
        </w:rPr>
        <w:t>、</w:t>
      </w:r>
      <w:r>
        <w:rPr>
          <w:rStyle w:val="11"/>
          <w:rFonts w:hint="eastAsia" w:ascii="仿宋_GB2312" w:hAnsi="仿宋_GB2312" w:eastAsia="仿宋_GB2312"/>
          <w:b w:val="0"/>
          <w:bCs w:val="0"/>
          <w:color w:val="auto"/>
          <w:sz w:val="32"/>
          <w:szCs w:val="32"/>
        </w:rPr>
        <w:t>产业</w:t>
      </w:r>
      <w:r>
        <w:rPr>
          <w:rStyle w:val="11"/>
          <w:rFonts w:hint="eastAsia" w:ascii="仿宋_GB2312" w:hAnsi="仿宋_GB2312" w:eastAsia="仿宋_GB2312"/>
          <w:b w:val="0"/>
          <w:bCs w:val="0"/>
          <w:color w:val="auto"/>
          <w:sz w:val="32"/>
          <w:szCs w:val="32"/>
          <w:lang w:eastAsia="zh-CN"/>
        </w:rPr>
        <w:t>、</w:t>
      </w:r>
      <w:r>
        <w:rPr>
          <w:rStyle w:val="11"/>
          <w:rFonts w:hint="eastAsia" w:ascii="仿宋_GB2312" w:hAnsi="仿宋_GB2312" w:eastAsia="仿宋_GB2312"/>
          <w:b w:val="0"/>
          <w:bCs w:val="0"/>
          <w:color w:val="auto"/>
          <w:sz w:val="32"/>
          <w:szCs w:val="32"/>
        </w:rPr>
        <w:t>创新</w:t>
      </w:r>
      <w:r>
        <w:rPr>
          <w:rStyle w:val="11"/>
          <w:rFonts w:hint="eastAsia" w:ascii="仿宋_GB2312" w:hAnsi="仿宋_GB2312" w:eastAsia="仿宋_GB2312"/>
          <w:b w:val="0"/>
          <w:bCs w:val="0"/>
          <w:color w:val="auto"/>
          <w:sz w:val="32"/>
          <w:szCs w:val="32"/>
          <w:lang w:eastAsia="zh-CN"/>
        </w:rPr>
        <w:t>资源的</w:t>
      </w:r>
      <w:r>
        <w:rPr>
          <w:rStyle w:val="11"/>
          <w:rFonts w:hint="eastAsia" w:ascii="仿宋_GB2312" w:hAnsi="仿宋_GB2312" w:eastAsia="仿宋_GB2312"/>
          <w:b w:val="0"/>
          <w:bCs w:val="0"/>
          <w:color w:val="auto"/>
          <w:sz w:val="32"/>
          <w:szCs w:val="32"/>
        </w:rPr>
        <w:t>有机衔接融合，</w:t>
      </w:r>
      <w:r>
        <w:rPr>
          <w:rStyle w:val="11"/>
          <w:rFonts w:hint="eastAsia" w:ascii="仿宋_GB2312" w:hAnsi="仿宋_GB2312" w:eastAsia="仿宋_GB2312"/>
          <w:b w:val="0"/>
          <w:bCs w:val="0"/>
          <w:color w:val="auto"/>
          <w:sz w:val="32"/>
          <w:szCs w:val="32"/>
          <w:lang w:eastAsia="zh-CN"/>
        </w:rPr>
        <w:t>《条例（草案）》</w:t>
      </w:r>
      <w:r>
        <w:rPr>
          <w:rStyle w:val="11"/>
          <w:rFonts w:hint="eastAsia" w:ascii="仿宋_GB2312" w:hAnsi="仿宋_GB2312" w:eastAsia="仿宋_GB2312"/>
          <w:b w:val="0"/>
          <w:bCs w:val="0"/>
          <w:color w:val="auto"/>
          <w:sz w:val="32"/>
          <w:szCs w:val="32"/>
        </w:rPr>
        <w:t>全方位多层次加快构建适应新发展格局需求的高质量产教融合体系</w:t>
      </w:r>
      <w:r>
        <w:rPr>
          <w:rStyle w:val="11"/>
          <w:rFonts w:hint="eastAsia" w:ascii="仿宋_GB2312" w:hAnsi="仿宋_GB2312" w:eastAsia="仿宋_GB2312"/>
          <w:b w:val="0"/>
          <w:bCs w:val="0"/>
          <w:color w:val="auto"/>
          <w:sz w:val="32"/>
          <w:szCs w:val="32"/>
          <w:lang w:eastAsia="zh-CN"/>
        </w:rPr>
        <w:t>。</w:t>
      </w:r>
      <w:r>
        <w:rPr>
          <w:rStyle w:val="11"/>
          <w:rFonts w:hint="eastAsia" w:ascii="仿宋_GB2312" w:hAnsi="仿宋_GB2312" w:eastAsia="仿宋_GB2312"/>
          <w:b w:val="0"/>
          <w:bCs w:val="0"/>
          <w:color w:val="auto"/>
          <w:sz w:val="32"/>
          <w:szCs w:val="32"/>
        </w:rPr>
        <w:t>一是强化专业设置，要求</w:t>
      </w:r>
      <w:r>
        <w:rPr>
          <w:rStyle w:val="11"/>
          <w:rFonts w:hint="eastAsia" w:ascii="仿宋_GB2312" w:hAnsi="仿宋_GB2312" w:eastAsia="仿宋_GB2312" w:cs="仿宋_GB2312"/>
          <w:b w:val="0"/>
          <w:bCs w:val="0"/>
          <w:color w:val="auto"/>
          <w:sz w:val="32"/>
          <w:szCs w:val="32"/>
        </w:rPr>
        <w:t>适应区域经济社会发展和服务民生需求，重点对接国家重大战略性新兴产业和未来产业设置专业并进行动态调整，形成紧密对接产业链、创新链的专业体系（第十四条）。</w:t>
      </w:r>
      <w:r>
        <w:rPr>
          <w:rStyle w:val="11"/>
          <w:rFonts w:hint="eastAsia" w:ascii="仿宋_GB2312" w:hAnsi="仿宋_GB2312" w:eastAsia="仿宋_GB2312"/>
          <w:b w:val="0"/>
          <w:bCs w:val="0"/>
          <w:color w:val="auto"/>
          <w:sz w:val="32"/>
          <w:szCs w:val="32"/>
        </w:rPr>
        <w:t>二是</w:t>
      </w:r>
      <w:r>
        <w:rPr>
          <w:rStyle w:val="11"/>
          <w:rFonts w:hint="eastAsia" w:ascii="仿宋_GB2312" w:hAnsi="仿宋_GB2312" w:eastAsia="仿宋_GB2312" w:cs="仿宋_GB2312"/>
          <w:b w:val="0"/>
          <w:bCs w:val="0"/>
          <w:color w:val="auto"/>
          <w:sz w:val="32"/>
          <w:szCs w:val="32"/>
        </w:rPr>
        <w:t>促进专业教材与产业需求相匹配</w:t>
      </w:r>
      <w:r>
        <w:rPr>
          <w:rStyle w:val="11"/>
          <w:rFonts w:hint="eastAsia" w:ascii="仿宋_GB2312" w:hAnsi="仿宋_GB2312" w:eastAsia="仿宋_GB2312" w:cs="仿宋_GB2312"/>
          <w:b w:val="0"/>
          <w:bCs w:val="0"/>
          <w:color w:val="auto"/>
          <w:sz w:val="32"/>
          <w:szCs w:val="32"/>
          <w:lang w:eastAsia="zh-CN"/>
        </w:rPr>
        <w:t>，</w:t>
      </w:r>
      <w:r>
        <w:rPr>
          <w:rStyle w:val="11"/>
          <w:rFonts w:hint="eastAsia" w:ascii="仿宋_GB2312" w:hAnsi="仿宋_GB2312" w:eastAsia="仿宋_GB2312" w:cs="仿宋_GB2312"/>
          <w:b w:val="0"/>
          <w:bCs w:val="0"/>
          <w:color w:val="auto"/>
          <w:sz w:val="32"/>
          <w:szCs w:val="32"/>
        </w:rPr>
        <w:t>要求专业课程教材反映产业发展最新进展，对接科技发展趋势和市场需求，及时吸纳成熟的新技术、新工艺、新规范等（第十六条）。</w:t>
      </w:r>
      <w:r>
        <w:rPr>
          <w:rStyle w:val="11"/>
          <w:rFonts w:hint="eastAsia" w:ascii="仿宋_GB2312" w:hAnsi="仿宋_GB2312" w:eastAsia="仿宋_GB2312"/>
          <w:b w:val="0"/>
          <w:bCs w:val="0"/>
          <w:color w:val="auto"/>
          <w:sz w:val="32"/>
          <w:szCs w:val="32"/>
        </w:rPr>
        <w:t>三是加大对产教联合体（第四十条）、</w:t>
      </w:r>
      <w:r>
        <w:rPr>
          <w:rStyle w:val="11"/>
          <w:rFonts w:hint="eastAsia" w:ascii="仿宋_GB2312" w:hAnsi="仿宋_GB2312" w:eastAsia="仿宋_GB2312"/>
          <w:b w:val="0"/>
          <w:bCs w:val="0"/>
          <w:color w:val="auto"/>
          <w:sz w:val="32"/>
          <w:szCs w:val="32"/>
          <w:lang w:eastAsia="zh-CN"/>
        </w:rPr>
        <w:t>实习</w:t>
      </w:r>
      <w:r>
        <w:rPr>
          <w:rStyle w:val="11"/>
          <w:rFonts w:hint="eastAsia" w:ascii="仿宋_GB2312" w:hAnsi="仿宋_GB2312" w:eastAsia="仿宋_GB2312"/>
          <w:b w:val="0"/>
          <w:bCs w:val="0"/>
          <w:color w:val="auto"/>
          <w:sz w:val="32"/>
          <w:szCs w:val="32"/>
        </w:rPr>
        <w:t>实训基地（第四十一条）、生产性实训中心（第四十二条）等各类产教融合平台和载体的支持。四是创新人才</w:t>
      </w:r>
      <w:r>
        <w:rPr>
          <w:rStyle w:val="11"/>
          <w:rFonts w:hint="default" w:ascii="仿宋_GB2312" w:hAnsi="仿宋_GB2312" w:eastAsia="仿宋_GB2312"/>
          <w:b w:val="0"/>
          <w:bCs w:val="0"/>
          <w:color w:val="auto"/>
          <w:sz w:val="32"/>
          <w:szCs w:val="32"/>
        </w:rPr>
        <w:t>培养</w:t>
      </w:r>
      <w:r>
        <w:rPr>
          <w:rStyle w:val="11"/>
          <w:rFonts w:hint="eastAsia" w:ascii="仿宋_GB2312" w:hAnsi="仿宋_GB2312" w:eastAsia="仿宋_GB2312"/>
          <w:b w:val="0"/>
          <w:bCs w:val="0"/>
          <w:color w:val="auto"/>
          <w:sz w:val="32"/>
          <w:szCs w:val="32"/>
        </w:rPr>
        <w:t>模式，支持技能大师工作室建设，探索中国特色学徒制，推进校企“双元育人”，进一步提高人才培养质量（第四十四条</w:t>
      </w:r>
      <w:r>
        <w:rPr>
          <w:rStyle w:val="11"/>
          <w:rFonts w:hint="default" w:ascii="仿宋_GB2312" w:hAnsi="仿宋_GB2312" w:eastAsia="仿宋_GB2312"/>
          <w:b w:val="0"/>
          <w:bCs w:val="0"/>
          <w:color w:val="auto"/>
          <w:sz w:val="32"/>
          <w:szCs w:val="32"/>
        </w:rPr>
        <w:t>、第四十五条</w:t>
      </w:r>
      <w:r>
        <w:rPr>
          <w:rStyle w:val="11"/>
          <w:rFonts w:hint="eastAsia" w:ascii="仿宋_GB2312" w:hAnsi="仿宋_GB2312" w:eastAsia="仿宋_GB2312"/>
          <w:b w:val="0"/>
          <w:bCs w:val="0"/>
          <w:color w:val="auto"/>
          <w:sz w:val="32"/>
          <w:szCs w:val="32"/>
        </w:rPr>
        <w:t>）。五是增强对产教融合型企业激励力度，明确产教融合型企业按照规定享受金融、财政、土地、信用组合式政策支持，建立产教融合型企业上市绿色通道，落实教育费附加、地方教育附加减免以及其他税费优惠（第四十九条）。</w:t>
      </w:r>
    </w:p>
    <w:p>
      <w:pPr>
        <w:pStyle w:val="1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Style w:val="11"/>
          <w:rFonts w:hint="eastAsia" w:ascii="楷体_GB2312" w:hAnsi="楷体_GB2312" w:eastAsia="楷体_GB2312" w:cs="楷体_GB2312"/>
          <w:b w:val="0"/>
          <w:bCs w:val="0"/>
          <w:color w:val="auto"/>
          <w:sz w:val="32"/>
          <w:szCs w:val="32"/>
          <w:lang w:val="en-US" w:eastAsia="zh-CN"/>
        </w:rPr>
      </w:pPr>
      <w:r>
        <w:rPr>
          <w:rStyle w:val="11"/>
          <w:rFonts w:hint="eastAsia" w:ascii="楷体_GB2312" w:hAnsi="楷体_GB2312" w:eastAsia="楷体_GB2312" w:cs="楷体_GB2312"/>
          <w:b w:val="0"/>
          <w:bCs w:val="0"/>
          <w:color w:val="auto"/>
          <w:sz w:val="32"/>
          <w:szCs w:val="32"/>
          <w:lang w:val="en-US" w:eastAsia="zh-CN"/>
        </w:rPr>
        <w:t>（三）数字化赋能职业教育高质量发展。</w:t>
      </w:r>
    </w:p>
    <w:p>
      <w:pPr>
        <w:pStyle w:val="1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Style w:val="11"/>
          <w:rFonts w:ascii="仿宋_GB2312" w:hAnsi="仿宋_GB2312" w:eastAsia="仿宋_GB2312"/>
          <w:b w:val="0"/>
          <w:bCs w:val="0"/>
          <w:color w:val="auto"/>
          <w:sz w:val="32"/>
          <w:szCs w:val="32"/>
        </w:rPr>
      </w:pPr>
      <w:r>
        <w:rPr>
          <w:rStyle w:val="11"/>
          <w:rFonts w:hint="eastAsia" w:ascii="仿宋_GB2312" w:hAnsi="仿宋_GB2312" w:eastAsia="仿宋_GB2312" w:cs="仿宋_GB2312"/>
          <w:bCs/>
          <w:color w:val="auto"/>
          <w:sz w:val="32"/>
          <w:szCs w:val="32"/>
          <w:lang w:eastAsia="zh-CN"/>
        </w:rPr>
        <w:t>我市</w:t>
      </w:r>
      <w:r>
        <w:rPr>
          <w:rStyle w:val="11"/>
          <w:rFonts w:hint="eastAsia" w:ascii="仿宋_GB2312" w:hAnsi="仿宋_GB2312" w:eastAsia="仿宋_GB2312" w:cs="仿宋_GB2312"/>
          <w:bCs/>
          <w:color w:val="auto"/>
          <w:sz w:val="32"/>
          <w:szCs w:val="32"/>
        </w:rPr>
        <w:t>充分发挥5G独立组网的先发优势，全面推进5G智慧校园建设，高标准建设智慧教室、智能学习体验中心、AR/VR/MR实训室等学习空间</w:t>
      </w:r>
      <w:r>
        <w:rPr>
          <w:rStyle w:val="11"/>
          <w:rFonts w:ascii="仿宋_GB2312" w:hAnsi="仿宋_GB2312" w:eastAsia="仿宋_GB2312" w:cs="仿宋_GB2312"/>
          <w:bCs/>
          <w:color w:val="auto"/>
          <w:sz w:val="32"/>
          <w:szCs w:val="32"/>
        </w:rPr>
        <w:t>，</w:t>
      </w:r>
      <w:r>
        <w:rPr>
          <w:rStyle w:val="11"/>
          <w:rFonts w:hint="eastAsia" w:ascii="仿宋_GB2312" w:hAnsi="仿宋_GB2312" w:eastAsia="仿宋_GB2312" w:cs="仿宋_GB2312"/>
          <w:bCs/>
          <w:color w:val="auto"/>
          <w:sz w:val="32"/>
          <w:szCs w:val="32"/>
        </w:rPr>
        <w:t>推行“互联网+培训”模式，推进终身教育教学资源库共建共享。</w:t>
      </w:r>
      <w:r>
        <w:rPr>
          <w:rStyle w:val="11"/>
          <w:rFonts w:hint="eastAsia" w:ascii="仿宋_GB2312" w:hAnsi="仿宋_GB2312" w:eastAsia="仿宋_GB2312" w:cs="仿宋_GB2312"/>
          <w:bCs/>
          <w:color w:val="auto"/>
          <w:sz w:val="32"/>
          <w:szCs w:val="32"/>
          <w:lang w:eastAsia="zh-CN"/>
        </w:rPr>
        <w:t>《条例（草案）》</w:t>
      </w:r>
      <w:r>
        <w:rPr>
          <w:rStyle w:val="11"/>
          <w:rFonts w:hint="eastAsia" w:ascii="仿宋_GB2312" w:hAnsi="仿宋_GB2312" w:eastAsia="仿宋_GB2312" w:cs="仿宋_GB2312"/>
          <w:bCs/>
          <w:color w:val="auto"/>
          <w:sz w:val="32"/>
          <w:szCs w:val="32"/>
        </w:rPr>
        <w:t>将智慧职教的要求法治化，</w:t>
      </w:r>
      <w:r>
        <w:rPr>
          <w:rStyle w:val="11"/>
          <w:rFonts w:hint="eastAsia" w:ascii="仿宋_GB2312" w:hAnsi="仿宋_GB2312" w:eastAsia="仿宋_GB2312" w:cs="仿宋_GB2312"/>
          <w:bCs/>
          <w:color w:val="auto"/>
          <w:sz w:val="32"/>
          <w:szCs w:val="32"/>
          <w:lang w:eastAsia="zh-CN"/>
        </w:rPr>
        <w:t>明确规定</w:t>
      </w:r>
      <w:r>
        <w:rPr>
          <w:rStyle w:val="11"/>
          <w:rFonts w:hint="eastAsia" w:ascii="仿宋_GB2312" w:hAnsi="仿宋_GB2312" w:eastAsia="仿宋_GB2312" w:cs="仿宋_GB2312"/>
          <w:color w:val="auto"/>
          <w:sz w:val="32"/>
          <w:szCs w:val="32"/>
        </w:rPr>
        <w:t>实施职业教育应当充分利用互联网、大数据等信息技术手段，加速人工智能赋能教学，深化教与学方式变革，</w:t>
      </w:r>
      <w:r>
        <w:rPr>
          <w:rStyle w:val="11"/>
          <w:rFonts w:hint="eastAsia" w:ascii="仿宋_GB2312" w:hAnsi="仿宋_GB2312" w:eastAsia="仿宋_GB2312" w:cs="仿宋_GB2312"/>
          <w:color w:val="auto"/>
          <w:sz w:val="32"/>
          <w:szCs w:val="32"/>
          <w:lang w:eastAsia="zh-Hans"/>
        </w:rPr>
        <w:t>推动</w:t>
      </w:r>
      <w:r>
        <w:rPr>
          <w:rStyle w:val="11"/>
          <w:rFonts w:hint="eastAsia" w:ascii="仿宋_GB2312" w:hAnsi="仿宋_GB2312" w:eastAsia="仿宋_GB2312" w:cs="仿宋_GB2312"/>
          <w:color w:val="auto"/>
          <w:sz w:val="32"/>
          <w:szCs w:val="32"/>
        </w:rPr>
        <w:t>智慧职业教育平台</w:t>
      </w:r>
      <w:r>
        <w:rPr>
          <w:rStyle w:val="11"/>
          <w:rFonts w:hint="eastAsia" w:ascii="仿宋_GB2312" w:hAnsi="仿宋_GB2312" w:eastAsia="仿宋_GB2312" w:cs="仿宋_GB2312"/>
          <w:color w:val="auto"/>
          <w:sz w:val="32"/>
          <w:szCs w:val="32"/>
          <w:lang w:eastAsia="zh-Hans"/>
        </w:rPr>
        <w:t>建设</w:t>
      </w:r>
      <w:r>
        <w:rPr>
          <w:rStyle w:val="11"/>
          <w:rFonts w:hint="eastAsia" w:ascii="仿宋_GB2312" w:hAnsi="仿宋_GB2312" w:eastAsia="仿宋_GB2312" w:cs="仿宋_GB2312"/>
          <w:color w:val="auto"/>
          <w:sz w:val="32"/>
          <w:szCs w:val="32"/>
        </w:rPr>
        <w:t>，提升职业教育信息化建设与融合应用水平</w:t>
      </w:r>
      <w:r>
        <w:rPr>
          <w:rStyle w:val="11"/>
          <w:rFonts w:hint="eastAsia" w:ascii="仿宋_GB2312" w:hAnsi="仿宋_GB2312" w:eastAsia="仿宋_GB2312" w:cs="仿宋_GB2312"/>
          <w:bCs/>
          <w:color w:val="auto"/>
          <w:sz w:val="32"/>
          <w:szCs w:val="32"/>
        </w:rPr>
        <w:t>（第六条）</w:t>
      </w:r>
      <w:r>
        <w:rPr>
          <w:rStyle w:val="11"/>
          <w:rFonts w:hint="eastAsia" w:ascii="仿宋_GB2312" w:hAnsi="仿宋_GB2312" w:eastAsia="仿宋_GB2312" w:cs="仿宋_GB2312"/>
          <w:bCs/>
          <w:color w:val="auto"/>
          <w:sz w:val="32"/>
          <w:szCs w:val="32"/>
          <w:lang w:eastAsia="zh-CN"/>
        </w:rPr>
        <w:t>。</w:t>
      </w:r>
    </w:p>
    <w:p>
      <w:pPr>
        <w:pStyle w:val="1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Style w:val="11"/>
          <w:rFonts w:hint="eastAsia" w:ascii="楷体_GB2312" w:hAnsi="楷体_GB2312" w:eastAsia="楷体_GB2312" w:cs="楷体_GB2312"/>
          <w:b w:val="0"/>
          <w:bCs/>
          <w:color w:val="auto"/>
          <w:sz w:val="32"/>
          <w:szCs w:val="32"/>
        </w:rPr>
      </w:pPr>
      <w:r>
        <w:rPr>
          <w:rStyle w:val="11"/>
          <w:rFonts w:hint="eastAsia" w:ascii="楷体_GB2312" w:hAnsi="楷体_GB2312" w:eastAsia="楷体_GB2312" w:cs="楷体_GB2312"/>
          <w:b w:val="0"/>
          <w:bCs/>
          <w:color w:val="auto"/>
          <w:sz w:val="32"/>
          <w:szCs w:val="32"/>
          <w:lang w:eastAsia="zh-CN"/>
        </w:rPr>
        <w:t>（四）</w:t>
      </w:r>
      <w:r>
        <w:rPr>
          <w:rStyle w:val="11"/>
          <w:rFonts w:hint="eastAsia" w:ascii="楷体_GB2312" w:hAnsi="楷体_GB2312" w:eastAsia="楷体_GB2312" w:cs="楷体_GB2312"/>
          <w:b w:val="0"/>
          <w:bCs/>
          <w:color w:val="auto"/>
          <w:sz w:val="32"/>
          <w:szCs w:val="32"/>
        </w:rPr>
        <w:t>激发</w:t>
      </w:r>
      <w:r>
        <w:rPr>
          <w:rStyle w:val="11"/>
          <w:rFonts w:hint="default" w:ascii="楷体_GB2312" w:hAnsi="楷体_GB2312" w:eastAsia="楷体_GB2312" w:cs="楷体_GB2312"/>
          <w:b w:val="0"/>
          <w:bCs/>
          <w:color w:val="auto"/>
          <w:sz w:val="32"/>
          <w:szCs w:val="32"/>
        </w:rPr>
        <w:t>校企合作积极性</w:t>
      </w:r>
      <w:r>
        <w:rPr>
          <w:rStyle w:val="11"/>
          <w:rFonts w:hint="eastAsia" w:ascii="楷体_GB2312" w:hAnsi="楷体_GB2312" w:eastAsia="楷体_GB2312" w:cs="楷体_GB2312"/>
          <w:b w:val="0"/>
          <w:bCs/>
          <w:color w:val="auto"/>
          <w:sz w:val="32"/>
          <w:szCs w:val="32"/>
        </w:rPr>
        <w:t>。</w:t>
      </w:r>
    </w:p>
    <w:p>
      <w:pPr>
        <w:pStyle w:val="14"/>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textAlignment w:val="auto"/>
        <w:rPr>
          <w:rStyle w:val="11"/>
          <w:rFonts w:ascii="仿宋_GB2312" w:hAnsi="仿宋_GB2312" w:eastAsia="仿宋_GB2312"/>
          <w:color w:val="auto"/>
          <w:sz w:val="32"/>
          <w:szCs w:val="32"/>
        </w:rPr>
      </w:pPr>
      <w:r>
        <w:rPr>
          <w:rStyle w:val="11"/>
          <w:rFonts w:hint="eastAsia" w:ascii="仿宋_GB2312" w:hAnsi="仿宋_GB2312" w:eastAsia="仿宋_GB2312" w:cs="仿宋_GB2312"/>
          <w:color w:val="auto"/>
          <w:sz w:val="32"/>
          <w:szCs w:val="32"/>
        </w:rPr>
        <w:t>校企合作是提升职业教育质量的重要途径</w:t>
      </w:r>
      <w:r>
        <w:rPr>
          <w:rStyle w:val="11"/>
          <w:rFonts w:ascii="仿宋_GB2312" w:hAnsi="仿宋_GB2312" w:eastAsia="仿宋_GB2312" w:cs="仿宋_GB2312"/>
          <w:color w:val="auto"/>
          <w:sz w:val="32"/>
          <w:szCs w:val="32"/>
          <w:lang w:eastAsia="zh-Hans"/>
        </w:rPr>
        <w:t>。</w:t>
      </w:r>
      <w:r>
        <w:rPr>
          <w:rStyle w:val="11"/>
          <w:rFonts w:hint="eastAsia" w:ascii="仿宋_GB2312" w:hAnsi="仿宋_GB2312" w:eastAsia="仿宋_GB2312" w:cs="仿宋_GB2312"/>
          <w:color w:val="auto"/>
          <w:sz w:val="32"/>
          <w:szCs w:val="32"/>
          <w:lang w:eastAsia="zh-CN"/>
        </w:rPr>
        <w:t>《条例（草案）》</w:t>
      </w:r>
      <w:r>
        <w:rPr>
          <w:rStyle w:val="11"/>
          <w:rFonts w:hint="eastAsia" w:ascii="仿宋_GB2312" w:hAnsi="仿宋_GB2312" w:eastAsia="仿宋_GB2312" w:cs="仿宋_GB2312"/>
          <w:color w:val="auto"/>
          <w:sz w:val="32"/>
          <w:szCs w:val="32"/>
        </w:rPr>
        <w:t>明确公办</w:t>
      </w:r>
      <w:r>
        <w:rPr>
          <w:rStyle w:val="11"/>
          <w:rFonts w:hint="eastAsia" w:ascii="仿宋_GB2312" w:eastAsia="仿宋_GB2312"/>
          <w:color w:val="auto"/>
          <w:sz w:val="32"/>
          <w:szCs w:val="32"/>
        </w:rPr>
        <w:t>职业学校教师、专业技术人员在校企合作中合法取得的兼职报酬和科技成果转化奖励收入不纳入单位工资总额。校企合作所得收入可按一定比例作为绩效工资来源，符合国家规定的可以不受绩效工资总量限制（第四十八条）</w:t>
      </w:r>
      <w:r>
        <w:rPr>
          <w:rStyle w:val="11"/>
          <w:rFonts w:hint="default" w:ascii="仿宋_GB2312" w:eastAsia="仿宋_GB2312"/>
          <w:color w:val="auto"/>
          <w:sz w:val="32"/>
          <w:szCs w:val="32"/>
        </w:rPr>
        <w:t>；</w:t>
      </w:r>
      <w:r>
        <w:rPr>
          <w:rStyle w:val="11"/>
          <w:rFonts w:hint="eastAsia" w:ascii="仿宋_GB2312" w:hAnsi="CESI仿宋-GB2312" w:eastAsia="仿宋_GB2312" w:cs="CESI仿宋-GB2312"/>
          <w:color w:val="auto"/>
          <w:sz w:val="32"/>
          <w:szCs w:val="32"/>
        </w:rPr>
        <w:t>公办职业学校承担的社会职业技能培训收入在合理扣除直接成本后可</w:t>
      </w:r>
      <w:r>
        <w:rPr>
          <w:rStyle w:val="11"/>
          <w:rFonts w:hint="eastAsia" w:ascii="仿宋_GB2312" w:hAnsi="CESI仿宋-GB2312" w:eastAsia="仿宋_GB2312" w:cs="CESI仿宋-GB2312"/>
          <w:color w:val="auto"/>
          <w:sz w:val="32"/>
          <w:szCs w:val="32"/>
          <w:lang w:eastAsia="zh-Hans"/>
        </w:rPr>
        <w:t>用于</w:t>
      </w:r>
      <w:r>
        <w:rPr>
          <w:rStyle w:val="11"/>
          <w:rFonts w:hint="eastAsia" w:ascii="仿宋_GB2312" w:hAnsi="CESI仿宋-GB2312" w:eastAsia="仿宋_GB2312" w:cs="CESI仿宋-GB2312"/>
          <w:color w:val="auto"/>
          <w:sz w:val="32"/>
          <w:szCs w:val="32"/>
        </w:rPr>
        <w:t>补充单位绩效工资</w:t>
      </w:r>
      <w:r>
        <w:rPr>
          <w:rStyle w:val="11"/>
          <w:rFonts w:ascii="仿宋_GB2312" w:hAnsi="CESI仿宋-GB2312" w:eastAsia="仿宋_GB2312" w:cs="CESI仿宋-GB2312"/>
          <w:color w:val="auto"/>
          <w:sz w:val="32"/>
          <w:szCs w:val="32"/>
        </w:rPr>
        <w:t>、</w:t>
      </w:r>
      <w:r>
        <w:rPr>
          <w:rStyle w:val="11"/>
          <w:rFonts w:hint="eastAsia" w:ascii="仿宋_GB2312" w:hAnsi="CESI仿宋-GB2312" w:eastAsia="仿宋_GB2312" w:cs="CESI仿宋-GB2312"/>
          <w:color w:val="auto"/>
          <w:sz w:val="32"/>
          <w:szCs w:val="32"/>
        </w:rPr>
        <w:t>纳入学校公用经费，</w:t>
      </w:r>
      <w:r>
        <w:rPr>
          <w:rStyle w:val="11"/>
          <w:rFonts w:hint="eastAsia" w:ascii="仿宋_GB2312" w:hAnsi="CESI仿宋-GB2312" w:eastAsia="仿宋_GB2312" w:cs="CESI仿宋-GB2312"/>
          <w:color w:val="auto"/>
          <w:sz w:val="32"/>
          <w:szCs w:val="32"/>
          <w:lang w:eastAsia="zh-Hans"/>
        </w:rPr>
        <w:t>同时教师</w:t>
      </w:r>
      <w:r>
        <w:rPr>
          <w:rStyle w:val="11"/>
          <w:rFonts w:hint="eastAsia" w:ascii="仿宋_GB2312" w:hAnsi="CESI仿宋-GB2312" w:eastAsia="仿宋_GB2312" w:cs="CESI仿宋-GB2312"/>
          <w:color w:val="auto"/>
          <w:sz w:val="32"/>
          <w:szCs w:val="32"/>
        </w:rPr>
        <w:t>培训工作量可以折算成全日制学生培养工作量（第二十七条）。</w:t>
      </w:r>
    </w:p>
    <w:p>
      <w:pPr>
        <w:pStyle w:val="14"/>
        <w:keepNext w:val="0"/>
        <w:keepLines w:val="0"/>
        <w:pageBreakBefore w:val="0"/>
        <w:widowControl w:val="0"/>
        <w:kinsoku/>
        <w:wordWrap/>
        <w:overflowPunct/>
        <w:topLinePunct w:val="0"/>
        <w:autoSpaceDN w:val="0"/>
        <w:bidi w:val="0"/>
        <w:adjustRightInd/>
        <w:snapToGrid/>
        <w:spacing w:after="0" w:line="560" w:lineRule="exact"/>
        <w:ind w:firstLine="640" w:firstLineChars="200"/>
        <w:jc w:val="both"/>
        <w:textAlignment w:val="auto"/>
        <w:rPr>
          <w:rStyle w:val="11"/>
          <w:rFonts w:hint="eastAsia" w:ascii="楷体_GB2312" w:hAnsi="楷体_GB2312" w:eastAsia="楷体_GB2312" w:cs="楷体_GB2312"/>
          <w:b w:val="0"/>
          <w:bCs/>
          <w:color w:val="auto"/>
          <w:sz w:val="32"/>
          <w:szCs w:val="32"/>
          <w:lang w:val="en-US" w:eastAsia="zh-CN"/>
        </w:rPr>
      </w:pPr>
      <w:r>
        <w:rPr>
          <w:rStyle w:val="11"/>
          <w:rFonts w:hint="eastAsia" w:ascii="楷体_GB2312" w:hAnsi="楷体_GB2312" w:eastAsia="楷体_GB2312" w:cs="楷体_GB2312"/>
          <w:b w:val="0"/>
          <w:bCs/>
          <w:color w:val="auto"/>
          <w:sz w:val="32"/>
          <w:szCs w:val="32"/>
          <w:lang w:val="en-US" w:eastAsia="zh-CN"/>
        </w:rPr>
        <w:t>（五）保障技工院校学生享受同等待遇。</w:t>
      </w:r>
    </w:p>
    <w:p>
      <w:pPr>
        <w:pStyle w:val="14"/>
        <w:keepNext w:val="0"/>
        <w:keepLines w:val="0"/>
        <w:pageBreakBefore w:val="0"/>
        <w:widowControl w:val="0"/>
        <w:kinsoku/>
        <w:wordWrap/>
        <w:overflowPunct/>
        <w:topLinePunct w:val="0"/>
        <w:autoSpaceDN w:val="0"/>
        <w:bidi w:val="0"/>
        <w:adjustRightInd/>
        <w:snapToGrid/>
        <w:spacing w:after="0" w:line="560" w:lineRule="exact"/>
        <w:ind w:firstLine="640" w:firstLineChars="200"/>
        <w:jc w:val="both"/>
        <w:textAlignment w:val="auto"/>
        <w:rPr>
          <w:rStyle w:val="11"/>
          <w:rFonts w:hint="default" w:ascii="仿宋_GB2312" w:hAnsi="Calibri" w:eastAsia="仿宋_GB2312" w:cs="Times New Roman"/>
          <w:color w:val="auto"/>
          <w:kern w:val="2"/>
          <w:sz w:val="32"/>
          <w:szCs w:val="32"/>
          <w:highlight w:val="none"/>
          <w:lang w:val="en-US" w:eastAsia="zh-CN" w:bidi="ar-SA"/>
        </w:rPr>
      </w:pPr>
      <w:r>
        <w:rPr>
          <w:rStyle w:val="11"/>
          <w:rFonts w:hint="eastAsia" w:ascii="仿宋_GB2312" w:hAnsi="Calibri" w:eastAsia="仿宋_GB2312" w:cs="Times New Roman"/>
          <w:color w:val="auto"/>
          <w:kern w:val="2"/>
          <w:sz w:val="32"/>
          <w:szCs w:val="32"/>
          <w:lang w:val="en-US" w:eastAsia="zh-CN" w:bidi="ar-SA"/>
        </w:rPr>
        <w:t>技工教育是职业教育的重要组</w:t>
      </w:r>
      <w:r>
        <w:rPr>
          <w:rStyle w:val="11"/>
          <w:rFonts w:hint="eastAsia" w:ascii="仿宋_GB2312" w:hAnsi="Calibri" w:eastAsia="仿宋_GB2312" w:cs="Times New Roman"/>
          <w:color w:val="auto"/>
          <w:kern w:val="2"/>
          <w:sz w:val="32"/>
          <w:szCs w:val="32"/>
          <w:highlight w:val="none"/>
          <w:lang w:val="en-US" w:eastAsia="zh-CN" w:bidi="ar-SA"/>
        </w:rPr>
        <w:t>成部分。国家层面出台《关于深化技工院校改革大力发展技工教育的意见》（人社部发〔2021〕30号）等</w:t>
      </w:r>
      <w:r>
        <w:rPr>
          <w:rStyle w:val="11"/>
          <w:rFonts w:hint="eastAsia" w:ascii="仿宋_GB2312" w:hAnsi="Calibri" w:eastAsia="仿宋_GB2312" w:cs="Times New Roman"/>
          <w:color w:val="auto"/>
          <w:kern w:val="2"/>
          <w:sz w:val="32"/>
          <w:szCs w:val="32"/>
          <w:highlight w:val="none"/>
          <w:lang w:val="en-US" w:eastAsia="zh-Hans" w:bidi="ar-SA"/>
        </w:rPr>
        <w:t>相关</w:t>
      </w:r>
      <w:r>
        <w:rPr>
          <w:rStyle w:val="11"/>
          <w:rFonts w:hint="eastAsia" w:ascii="仿宋_GB2312" w:hAnsi="Calibri" w:eastAsia="仿宋_GB2312" w:cs="Times New Roman"/>
          <w:color w:val="auto"/>
          <w:kern w:val="2"/>
          <w:sz w:val="32"/>
          <w:szCs w:val="32"/>
          <w:highlight w:val="none"/>
          <w:lang w:val="en-US" w:eastAsia="zh-CN" w:bidi="ar-SA"/>
        </w:rPr>
        <w:t>规定，明确要求技工院校中级工班、高级工班、预备技师（技师）班毕业生分别按相当于中专、大专、本科学历落实相关待遇。为贯彻落实国家有关规定，打破</w:t>
      </w:r>
      <w:r>
        <w:rPr>
          <w:rStyle w:val="11"/>
          <w:rFonts w:hint="default" w:ascii="仿宋_GB2312" w:hAnsi="Calibri" w:eastAsia="仿宋_GB2312" w:cs="Times New Roman"/>
          <w:color w:val="auto"/>
          <w:kern w:val="2"/>
          <w:sz w:val="32"/>
          <w:szCs w:val="32"/>
          <w:highlight w:val="none"/>
          <w:lang w:val="en-US" w:eastAsia="zh-CN" w:bidi="ar-SA"/>
        </w:rPr>
        <w:t>技工</w:t>
      </w:r>
      <w:r>
        <w:rPr>
          <w:rStyle w:val="11"/>
          <w:rFonts w:hint="eastAsia" w:ascii="仿宋_GB2312" w:hAnsi="Calibri" w:eastAsia="仿宋_GB2312" w:cs="Times New Roman"/>
          <w:color w:val="auto"/>
          <w:kern w:val="2"/>
          <w:sz w:val="32"/>
          <w:szCs w:val="32"/>
          <w:highlight w:val="none"/>
          <w:lang w:val="en-US" w:eastAsia="zh-CN" w:bidi="ar-SA"/>
        </w:rPr>
        <w:t>院校毕业生上升壁垒，《条例（草案）》将技工院校毕业生待遇相关政策转化为立法保障，以特区法规保障技工院校优秀毕业生发展通道</w:t>
      </w:r>
      <w:r>
        <w:rPr>
          <w:rStyle w:val="11"/>
          <w:rFonts w:hint="default" w:ascii="仿宋_GB2312" w:hAnsi="Calibri" w:eastAsia="仿宋_GB2312" w:cs="Times New Roman"/>
          <w:color w:val="auto"/>
          <w:kern w:val="2"/>
          <w:sz w:val="32"/>
          <w:szCs w:val="32"/>
          <w:highlight w:val="none"/>
          <w:lang w:val="en-US" w:eastAsia="zh-CN" w:bidi="ar-SA"/>
        </w:rPr>
        <w:t>(第三十六条）</w:t>
      </w:r>
      <w:r>
        <w:rPr>
          <w:rStyle w:val="11"/>
          <w:rFonts w:hint="eastAsia" w:ascii="仿宋_GB2312" w:hAnsi="Calibri" w:eastAsia="仿宋_GB2312" w:cs="Times New Roman"/>
          <w:color w:val="auto"/>
          <w:kern w:val="2"/>
          <w:sz w:val="32"/>
          <w:szCs w:val="32"/>
          <w:highlight w:val="none"/>
          <w:lang w:val="en-US" w:eastAsia="zh-CN" w:bidi="ar-SA"/>
        </w:rPr>
        <w:t>。</w:t>
      </w:r>
    </w:p>
    <w:p>
      <w:pPr>
        <w:pStyle w:val="14"/>
        <w:keepNext w:val="0"/>
        <w:keepLines w:val="0"/>
        <w:pageBreakBefore w:val="0"/>
        <w:widowControl w:val="0"/>
        <w:numPr>
          <w:ilvl w:val="0"/>
          <w:numId w:val="0"/>
        </w:numPr>
        <w:kinsoku/>
        <w:wordWrap/>
        <w:overflowPunct/>
        <w:topLinePunct w:val="0"/>
        <w:autoSpaceDN w:val="0"/>
        <w:bidi w:val="0"/>
        <w:adjustRightInd/>
        <w:snapToGrid/>
        <w:spacing w:line="560" w:lineRule="exact"/>
        <w:ind w:left="0" w:leftChars="0" w:firstLine="640" w:firstLineChars="200"/>
        <w:jc w:val="both"/>
        <w:textAlignment w:val="auto"/>
        <w:rPr>
          <w:rStyle w:val="11"/>
          <w:rFonts w:hint="eastAsia" w:ascii="楷体_GB2312" w:hAnsi="楷体_GB2312" w:eastAsia="楷体_GB2312" w:cs="楷体_GB2312"/>
          <w:b w:val="0"/>
          <w:bCs/>
          <w:color w:val="auto"/>
          <w:sz w:val="32"/>
          <w:szCs w:val="32"/>
          <w:highlight w:val="none"/>
          <w:lang w:eastAsia="zh-CN"/>
        </w:rPr>
      </w:pPr>
      <w:r>
        <w:rPr>
          <w:rStyle w:val="11"/>
          <w:rFonts w:hint="eastAsia" w:ascii="楷体_GB2312" w:hAnsi="楷体_GB2312" w:eastAsia="楷体_GB2312" w:cs="楷体_GB2312"/>
          <w:b w:val="0"/>
          <w:bCs/>
          <w:color w:val="auto"/>
          <w:sz w:val="32"/>
          <w:szCs w:val="32"/>
          <w:highlight w:val="none"/>
          <w:lang w:eastAsia="zh-CN"/>
        </w:rPr>
        <w:t>（六）</w:t>
      </w:r>
      <w:r>
        <w:rPr>
          <w:rStyle w:val="11"/>
          <w:rFonts w:hint="eastAsia" w:ascii="楷体_GB2312" w:hAnsi="楷体_GB2312" w:eastAsia="楷体_GB2312" w:cs="楷体_GB2312"/>
          <w:b w:val="0"/>
          <w:bCs/>
          <w:color w:val="auto"/>
          <w:sz w:val="32"/>
          <w:szCs w:val="32"/>
          <w:highlight w:val="none"/>
        </w:rPr>
        <w:t>推动打造粤港澳大湾区技能人才高地</w:t>
      </w:r>
      <w:r>
        <w:rPr>
          <w:rStyle w:val="11"/>
          <w:rFonts w:hint="eastAsia" w:ascii="楷体_GB2312" w:hAnsi="楷体_GB2312" w:eastAsia="楷体_GB2312" w:cs="楷体_GB2312"/>
          <w:b w:val="0"/>
          <w:bCs/>
          <w:color w:val="auto"/>
          <w:sz w:val="32"/>
          <w:szCs w:val="32"/>
          <w:highlight w:val="none"/>
          <w:lang w:eastAsia="zh-CN"/>
        </w:rPr>
        <w:t>。</w:t>
      </w:r>
    </w:p>
    <w:p>
      <w:pPr>
        <w:pStyle w:val="14"/>
        <w:keepNext w:val="0"/>
        <w:keepLines w:val="0"/>
        <w:pageBreakBefore w:val="0"/>
        <w:widowControl w:val="0"/>
        <w:numPr>
          <w:ilvl w:val="0"/>
          <w:numId w:val="0"/>
        </w:numPr>
        <w:kinsoku/>
        <w:wordWrap/>
        <w:overflowPunct/>
        <w:topLinePunct w:val="0"/>
        <w:autoSpaceDN w:val="0"/>
        <w:bidi w:val="0"/>
        <w:adjustRightInd/>
        <w:snapToGrid/>
        <w:spacing w:line="560" w:lineRule="exact"/>
        <w:ind w:firstLine="640" w:firstLineChars="200"/>
        <w:jc w:val="both"/>
        <w:textAlignment w:val="auto"/>
        <w:rPr>
          <w:rStyle w:val="11"/>
          <w:rFonts w:ascii="仿宋_GB2312" w:hAnsi="仿宋_GB2312" w:eastAsia="仿宋_GB2312" w:cs="仿宋_GB2312"/>
          <w:bCs/>
          <w:color w:val="auto"/>
          <w:sz w:val="32"/>
          <w:szCs w:val="32"/>
          <w:highlight w:val="none"/>
        </w:rPr>
      </w:pPr>
      <w:r>
        <w:rPr>
          <w:rStyle w:val="11"/>
          <w:rFonts w:hint="eastAsia" w:ascii="仿宋_GB2312" w:hAnsi="仿宋_GB2312" w:eastAsia="仿宋_GB2312" w:cs="仿宋_GB2312"/>
          <w:bCs/>
          <w:color w:val="auto"/>
          <w:sz w:val="32"/>
          <w:szCs w:val="32"/>
          <w:highlight w:val="none"/>
        </w:rPr>
        <w:t>《粤港澳大湾区发展规划纲要》提出打造教育高地和人才高地，支持建设大湾区国际教育示范区。香港名校多，基础研究强、国际化水平高；澳门高校拥有中医药、旅游等一批高水平特色学科。</w:t>
      </w:r>
      <w:r>
        <w:rPr>
          <w:rStyle w:val="11"/>
          <w:rFonts w:hint="eastAsia" w:ascii="仿宋_GB2312" w:hAnsi="仿宋_GB2312" w:eastAsia="仿宋_GB2312" w:cs="仿宋_GB2312"/>
          <w:bCs/>
          <w:color w:val="auto"/>
          <w:sz w:val="32"/>
          <w:szCs w:val="32"/>
          <w:highlight w:val="none"/>
          <w:lang w:eastAsia="zh-CN"/>
        </w:rPr>
        <w:t>《条例（草案）》</w:t>
      </w:r>
      <w:r>
        <w:rPr>
          <w:rStyle w:val="11"/>
          <w:rFonts w:hint="eastAsia" w:ascii="仿宋_GB2312" w:hAnsi="仿宋_GB2312" w:eastAsia="仿宋_GB2312" w:cs="仿宋_GB2312"/>
          <w:bCs/>
          <w:color w:val="auto"/>
          <w:sz w:val="32"/>
          <w:szCs w:val="32"/>
          <w:highlight w:val="none"/>
        </w:rPr>
        <w:t>通过立法的形式，明确支持深圳与港澳及其他境外地区通过合作办学（第五十条</w:t>
      </w:r>
      <w:r>
        <w:rPr>
          <w:rStyle w:val="11"/>
          <w:rFonts w:hint="default" w:ascii="仿宋_GB2312" w:hAnsi="仿宋_GB2312" w:eastAsia="仿宋_GB2312" w:cs="仿宋_GB2312"/>
          <w:bCs/>
          <w:color w:val="auto"/>
          <w:sz w:val="32"/>
          <w:szCs w:val="32"/>
          <w:highlight w:val="none"/>
        </w:rPr>
        <w:t>、第五十一条</w:t>
      </w:r>
      <w:r>
        <w:rPr>
          <w:rStyle w:val="11"/>
          <w:rFonts w:hint="eastAsia" w:ascii="仿宋_GB2312" w:hAnsi="仿宋_GB2312" w:eastAsia="仿宋_GB2312" w:cs="仿宋_GB2312"/>
          <w:bCs/>
          <w:color w:val="auto"/>
          <w:sz w:val="32"/>
          <w:szCs w:val="32"/>
          <w:highlight w:val="none"/>
        </w:rPr>
        <w:t>），互认职业教育学习成果（第五十二条），开发国际职业资格证书（第五十三条），建设职业教育国际高端平台（第五十四条），举办国际职业技能竞赛（第五十五条），参与国际职业技术标准制定（第五十六</w:t>
      </w:r>
      <w:r>
        <w:rPr>
          <w:rStyle w:val="11"/>
          <w:rFonts w:ascii="仿宋_GB2312" w:hAnsi="仿宋_GB2312" w:eastAsia="仿宋_GB2312" w:cs="仿宋_GB2312"/>
          <w:bCs/>
          <w:color w:val="auto"/>
          <w:sz w:val="32"/>
          <w:szCs w:val="32"/>
          <w:highlight w:val="none"/>
        </w:rPr>
        <w:t>条</w:t>
      </w:r>
      <w:r>
        <w:rPr>
          <w:rStyle w:val="11"/>
          <w:rFonts w:hint="eastAsia" w:ascii="仿宋_GB2312" w:hAnsi="仿宋_GB2312" w:eastAsia="仿宋_GB2312" w:cs="仿宋_GB2312"/>
          <w:bCs/>
          <w:color w:val="auto"/>
          <w:sz w:val="32"/>
          <w:szCs w:val="32"/>
          <w:highlight w:val="none"/>
        </w:rPr>
        <w:t>），促进境内外职业教育优质资源联通互动，推动打造粤港澳大湾区技能人才高地。</w:t>
      </w:r>
    </w:p>
    <w:p>
      <w:pPr>
        <w:pStyle w:val="14"/>
        <w:keepNext w:val="0"/>
        <w:keepLines w:val="0"/>
        <w:pageBreakBefore w:val="0"/>
        <w:widowControl w:val="0"/>
        <w:numPr>
          <w:ilvl w:val="0"/>
          <w:numId w:val="0"/>
        </w:numPr>
        <w:kinsoku/>
        <w:wordWrap/>
        <w:overflowPunct/>
        <w:topLinePunct w:val="0"/>
        <w:autoSpaceDN w:val="0"/>
        <w:bidi w:val="0"/>
        <w:adjustRightInd/>
        <w:snapToGrid/>
        <w:spacing w:line="560" w:lineRule="exact"/>
        <w:ind w:left="0" w:leftChars="0" w:firstLine="640" w:firstLineChars="200"/>
        <w:jc w:val="both"/>
        <w:textAlignment w:val="auto"/>
        <w:rPr>
          <w:rStyle w:val="11"/>
          <w:rFonts w:hint="eastAsia" w:ascii="楷体_GB2312" w:hAnsi="楷体_GB2312" w:eastAsia="楷体_GB2312" w:cs="楷体_GB2312"/>
          <w:b w:val="0"/>
          <w:bCs/>
          <w:color w:val="auto"/>
          <w:sz w:val="32"/>
          <w:szCs w:val="32"/>
          <w:highlight w:val="none"/>
          <w:lang w:eastAsia="zh-CN"/>
        </w:rPr>
      </w:pPr>
      <w:r>
        <w:rPr>
          <w:rStyle w:val="11"/>
          <w:rFonts w:hint="eastAsia" w:ascii="楷体_GB2312" w:hAnsi="楷体_GB2312" w:eastAsia="楷体_GB2312" w:cs="楷体_GB2312"/>
          <w:b w:val="0"/>
          <w:bCs/>
          <w:color w:val="auto"/>
          <w:sz w:val="32"/>
          <w:szCs w:val="32"/>
          <w:highlight w:val="none"/>
          <w:lang w:eastAsia="zh-CN"/>
        </w:rPr>
        <w:t>（七）</w:t>
      </w:r>
      <w:r>
        <w:rPr>
          <w:rStyle w:val="11"/>
          <w:rFonts w:hint="eastAsia" w:ascii="楷体_GB2312" w:hAnsi="楷体_GB2312" w:eastAsia="楷体_GB2312" w:cs="楷体_GB2312"/>
          <w:b w:val="0"/>
          <w:bCs/>
          <w:color w:val="auto"/>
          <w:sz w:val="32"/>
          <w:szCs w:val="32"/>
          <w:highlight w:val="none"/>
        </w:rPr>
        <w:t>细化上位法规定</w:t>
      </w:r>
      <w:r>
        <w:rPr>
          <w:rStyle w:val="11"/>
          <w:rFonts w:hint="eastAsia" w:ascii="楷体_GB2312" w:hAnsi="楷体_GB2312" w:eastAsia="楷体_GB2312" w:cs="楷体_GB2312"/>
          <w:b w:val="0"/>
          <w:bCs/>
          <w:color w:val="auto"/>
          <w:sz w:val="32"/>
          <w:szCs w:val="32"/>
          <w:highlight w:val="none"/>
          <w:lang w:eastAsia="zh-CN"/>
        </w:rPr>
        <w:t>。</w:t>
      </w:r>
    </w:p>
    <w:p>
      <w:pPr>
        <w:pStyle w:val="14"/>
        <w:keepNext w:val="0"/>
        <w:keepLines w:val="0"/>
        <w:pageBreakBefore w:val="0"/>
        <w:widowControl w:val="0"/>
        <w:kinsoku/>
        <w:wordWrap/>
        <w:overflowPunct/>
        <w:topLinePunct w:val="0"/>
        <w:bidi w:val="0"/>
        <w:adjustRightInd/>
        <w:snapToGrid/>
        <w:spacing w:after="0" w:line="560" w:lineRule="exact"/>
        <w:ind w:firstLine="640" w:firstLineChars="200"/>
        <w:jc w:val="both"/>
        <w:textAlignment w:val="auto"/>
      </w:pPr>
      <w:r>
        <w:rPr>
          <w:rStyle w:val="11"/>
          <w:rFonts w:hint="eastAsia" w:ascii="仿宋_GB2312" w:hAnsi="Calibri" w:eastAsia="仿宋_GB2312" w:cs="Times New Roman"/>
          <w:b w:val="0"/>
          <w:bCs w:val="0"/>
          <w:color w:val="auto"/>
          <w:kern w:val="2"/>
          <w:sz w:val="32"/>
          <w:szCs w:val="32"/>
          <w:highlight w:val="none"/>
          <w:lang w:val="en-US" w:eastAsia="zh-CN" w:bidi="ar-SA"/>
        </w:rPr>
        <w:t>《条例（草案）》结合特区实际，对职业教育法有关规定进行细化。</w:t>
      </w:r>
      <w:r>
        <w:rPr>
          <w:rStyle w:val="11"/>
          <w:rFonts w:hint="eastAsia" w:ascii="仿宋_GB2312" w:hAnsi="楷体" w:eastAsia="仿宋_GB2312" w:cs="楷体"/>
          <w:b w:val="0"/>
          <w:bCs w:val="0"/>
          <w:color w:val="auto"/>
          <w:kern w:val="2"/>
          <w:sz w:val="32"/>
          <w:szCs w:val="32"/>
          <w:highlight w:val="none"/>
          <w:lang w:val="en-US" w:eastAsia="zh-CN" w:bidi="ar-SA"/>
        </w:rPr>
        <w:t>一是</w:t>
      </w:r>
      <w:r>
        <w:rPr>
          <w:rStyle w:val="11"/>
          <w:rFonts w:ascii="仿宋_GB2312" w:hAnsi="楷体" w:eastAsia="仿宋_GB2312" w:cs="楷体"/>
          <w:b w:val="0"/>
          <w:bCs w:val="0"/>
          <w:color w:val="auto"/>
          <w:kern w:val="2"/>
          <w:sz w:val="32"/>
          <w:szCs w:val="32"/>
          <w:highlight w:val="none"/>
          <w:lang w:val="en-US" w:eastAsia="zh-CN" w:bidi="ar-SA"/>
        </w:rPr>
        <w:t>明确专业教师聘用要求。</w:t>
      </w:r>
      <w:r>
        <w:rPr>
          <w:rStyle w:val="11"/>
          <w:rFonts w:hint="eastAsia" w:ascii="仿宋_GB2312" w:hAnsi="仿宋_GB2312" w:eastAsia="仿宋_GB2312" w:cs="Times New Roman"/>
          <w:b w:val="0"/>
          <w:bCs w:val="0"/>
          <w:color w:val="auto"/>
          <w:kern w:val="2"/>
          <w:sz w:val="32"/>
          <w:szCs w:val="32"/>
          <w:highlight w:val="none"/>
          <w:lang w:val="en-US" w:eastAsia="zh-CN" w:bidi="ar-SA"/>
        </w:rPr>
        <w:t>为进一步突出</w:t>
      </w:r>
      <w:r>
        <w:rPr>
          <w:rStyle w:val="11"/>
          <w:rFonts w:hint="default" w:ascii="仿宋_GB2312" w:hAnsi="仿宋_GB2312" w:eastAsia="仿宋_GB2312" w:cs="Times New Roman"/>
          <w:b w:val="0"/>
          <w:bCs w:val="0"/>
          <w:color w:val="auto"/>
          <w:kern w:val="2"/>
          <w:sz w:val="32"/>
          <w:szCs w:val="32"/>
          <w:highlight w:val="none"/>
          <w:lang w:val="en-US" w:eastAsia="zh-CN" w:bidi="ar-SA"/>
        </w:rPr>
        <w:t>深圳</w:t>
      </w:r>
      <w:r>
        <w:rPr>
          <w:rStyle w:val="11"/>
          <w:rFonts w:hint="eastAsia" w:ascii="仿宋_GB2312" w:hAnsi="仿宋_GB2312" w:eastAsia="仿宋_GB2312" w:cs="Times New Roman"/>
          <w:b w:val="0"/>
          <w:bCs w:val="0"/>
          <w:color w:val="auto"/>
          <w:kern w:val="2"/>
          <w:sz w:val="32"/>
          <w:szCs w:val="32"/>
          <w:highlight w:val="none"/>
          <w:lang w:val="en-US" w:eastAsia="zh-CN" w:bidi="ar-SA"/>
        </w:rPr>
        <w:t>职业学校专业课教师“双师型”属性，《条例（草案）》</w:t>
      </w:r>
      <w:r>
        <w:rPr>
          <w:rStyle w:val="11"/>
          <w:rFonts w:hint="eastAsia" w:ascii="仿宋_GB2312" w:hAnsi="仿宋_GB2312" w:eastAsia="仿宋_GB2312" w:cs="Times New Roman"/>
          <w:b w:val="0"/>
          <w:bCs w:val="0"/>
          <w:color w:val="auto"/>
          <w:kern w:val="2"/>
          <w:sz w:val="32"/>
          <w:szCs w:val="32"/>
          <w:highlight w:val="none"/>
          <w:lang w:val="en-US" w:eastAsia="zh-Hans" w:bidi="ar-SA"/>
        </w:rPr>
        <w:t>明确</w:t>
      </w:r>
      <w:r>
        <w:rPr>
          <w:rStyle w:val="11"/>
          <w:rFonts w:hint="eastAsia" w:ascii="仿宋_GB2312" w:hAnsi="仿宋_GB2312" w:eastAsia="仿宋_GB2312" w:cs="Times New Roman"/>
          <w:b w:val="0"/>
          <w:bCs w:val="0"/>
          <w:color w:val="auto"/>
          <w:kern w:val="2"/>
          <w:sz w:val="32"/>
          <w:szCs w:val="32"/>
          <w:highlight w:val="none"/>
          <w:lang w:val="en-US" w:eastAsia="zh-CN" w:bidi="ar-SA"/>
        </w:rPr>
        <w:t>专科及以上层次的职业学校相关专业课教师</w:t>
      </w:r>
      <w:r>
        <w:rPr>
          <w:rStyle w:val="11"/>
          <w:rFonts w:hint="eastAsia" w:ascii="仿宋_GB2312" w:hAnsi="仿宋_GB2312" w:eastAsia="仿宋_GB2312" w:cs="Times New Roman"/>
          <w:b w:val="0"/>
          <w:bCs w:val="0"/>
          <w:color w:val="auto"/>
          <w:kern w:val="2"/>
          <w:sz w:val="32"/>
          <w:szCs w:val="32"/>
          <w:highlight w:val="none"/>
          <w:lang w:val="en-US" w:eastAsia="zh-Hans" w:bidi="ar-SA"/>
        </w:rPr>
        <w:t>需满足的工作经验与学</w:t>
      </w:r>
      <w:r>
        <w:rPr>
          <w:rStyle w:val="11"/>
          <w:rFonts w:hint="eastAsia" w:ascii="仿宋_GB2312" w:hAnsi="仿宋_GB2312" w:eastAsia="仿宋_GB2312" w:cs="仿宋_GB2312"/>
          <w:b w:val="0"/>
          <w:bCs w:val="0"/>
          <w:color w:val="auto"/>
          <w:kern w:val="2"/>
          <w:sz w:val="32"/>
          <w:szCs w:val="32"/>
          <w:highlight w:val="none"/>
          <w:lang w:val="en-US" w:eastAsia="zh-Hans" w:bidi="ar-SA"/>
        </w:rPr>
        <w:t>历要求</w:t>
      </w:r>
      <w:r>
        <w:rPr>
          <w:rStyle w:val="11"/>
          <w:rFonts w:hint="eastAsia" w:ascii="仿宋_GB2312" w:hAnsi="仿宋_GB2312" w:eastAsia="仿宋_GB2312" w:cs="仿宋_GB2312"/>
          <w:b w:val="0"/>
          <w:bCs w:val="0"/>
          <w:color w:val="auto"/>
          <w:kern w:val="2"/>
          <w:sz w:val="32"/>
          <w:szCs w:val="32"/>
          <w:highlight w:val="none"/>
          <w:lang w:val="en-US" w:eastAsia="zh-CN" w:bidi="ar-SA"/>
        </w:rPr>
        <w:t>；特殊岗位可先行招聘未取得教师资格的专业课教师（第三十二条）。二是推进职普融通打破人才成长“天花板”。《条例（草案）》规定推进高等职业学校与普通高等学校在师资流动、教学实施、学分认定、文凭授予等方面开展合作，促进职业教育与普通教育横向融通（第二十二条）。三是推动学历学分互认</w:t>
      </w:r>
      <w:r>
        <w:rPr>
          <w:rStyle w:val="11"/>
          <w:rFonts w:hint="eastAsia" w:ascii="仿宋_GB2312" w:hAnsi="仿宋_GB2312" w:eastAsia="仿宋_GB2312" w:cs="仿宋_GB2312"/>
          <w:b w:val="0"/>
          <w:bCs w:val="0"/>
          <w:color w:val="auto"/>
          <w:kern w:val="2"/>
          <w:sz w:val="32"/>
          <w:szCs w:val="32"/>
          <w:lang w:val="en-US" w:eastAsia="zh-CN" w:bidi="ar-SA"/>
        </w:rPr>
        <w:t>制度。《条例（草案）》规定职业学校应当积极参与学分认证、积累、转换体系建设，对学生参加职业技能培训获得的学分、证书及其他学习成果进行认定，有效地促进职业技能提升与学历教育学分相贯通。四是加强职业教育发展保障。《条例（草案）》在用地、财政投入、教育费附加、培训经费等方面进一步细化政府对职业教育的投入，强化职业教育保障，规定符合</w:t>
      </w:r>
      <w:r>
        <w:rPr>
          <w:rStyle w:val="11"/>
          <w:rFonts w:hint="eastAsia" w:ascii="仿宋_GB2312" w:hAnsi="仿宋_GB2312" w:eastAsia="仿宋_GB2312" w:cs="仿宋_GB2312"/>
          <w:b w:val="0"/>
          <w:bCs w:val="0"/>
          <w:color w:val="auto"/>
          <w:kern w:val="2"/>
          <w:sz w:val="32"/>
          <w:szCs w:val="32"/>
          <w:lang w:val="en-US" w:eastAsia="zh-Hans" w:bidi="ar-SA"/>
        </w:rPr>
        <w:t>条件</w:t>
      </w:r>
      <w:r>
        <w:rPr>
          <w:rStyle w:val="11"/>
          <w:rFonts w:hint="eastAsia" w:ascii="仿宋_GB2312" w:hAnsi="仿宋_GB2312" w:eastAsia="仿宋_GB2312" w:cs="仿宋_GB2312"/>
          <w:b w:val="0"/>
          <w:bCs w:val="0"/>
          <w:color w:val="auto"/>
          <w:kern w:val="2"/>
          <w:sz w:val="32"/>
          <w:szCs w:val="32"/>
          <w:lang w:val="en-US" w:eastAsia="zh-CN" w:bidi="ar-SA"/>
        </w:rPr>
        <w:t>的职业学校可以通过划拨方式供地（第五十八条</w:t>
      </w:r>
      <w:r>
        <w:rPr>
          <w:rStyle w:val="11"/>
          <w:rFonts w:hint="eastAsia" w:ascii="仿宋_GB2312" w:hAnsi="仿宋_GB2312" w:eastAsia="仿宋_GB2312" w:cs="仿宋_GB2312"/>
          <w:b w:val="0"/>
          <w:bCs w:val="0"/>
          <w:color w:val="auto"/>
          <w:kern w:val="2"/>
          <w:sz w:val="32"/>
          <w:szCs w:val="32"/>
          <w:lang w:eastAsia="zh-CN" w:bidi="ar-SA"/>
        </w:rPr>
        <w:t>、第五十九条</w:t>
      </w:r>
      <w:r>
        <w:rPr>
          <w:rStyle w:val="11"/>
          <w:rFonts w:hint="eastAsia" w:ascii="仿宋_GB2312" w:hAnsi="仿宋_GB2312" w:eastAsia="仿宋_GB2312" w:cs="仿宋_GB2312"/>
          <w:b w:val="0"/>
          <w:bCs w:val="0"/>
          <w:color w:val="auto"/>
          <w:kern w:val="2"/>
          <w:sz w:val="32"/>
          <w:szCs w:val="32"/>
          <w:lang w:val="en-US" w:eastAsia="zh-CN" w:bidi="ar-SA"/>
        </w:rPr>
        <w:t>），</w:t>
      </w:r>
      <w:r>
        <w:rPr>
          <w:rStyle w:val="11"/>
          <w:rFonts w:hint="eastAsia" w:ascii="仿宋_GB2312" w:hAnsi="仿宋_GB2312" w:eastAsia="仿宋_GB2312" w:cs="仿宋_GB2312"/>
          <w:b w:val="0"/>
          <w:bCs w:val="0"/>
          <w:color w:val="auto"/>
          <w:kern w:val="2"/>
          <w:sz w:val="32"/>
          <w:szCs w:val="32"/>
          <w:lang w:val="en-US" w:eastAsia="zh-Hans" w:bidi="ar-SA"/>
        </w:rPr>
        <w:t>强调</w:t>
      </w:r>
      <w:r>
        <w:rPr>
          <w:rStyle w:val="11"/>
          <w:rFonts w:hint="eastAsia" w:ascii="仿宋_GB2312" w:hAnsi="仿宋_GB2312" w:eastAsia="仿宋_GB2312" w:cs="仿宋_GB2312"/>
          <w:b w:val="0"/>
          <w:bCs w:val="0"/>
          <w:color w:val="auto"/>
          <w:kern w:val="2"/>
          <w:sz w:val="32"/>
          <w:szCs w:val="32"/>
          <w:lang w:val="en-US" w:eastAsia="zh-CN" w:bidi="ar-SA"/>
        </w:rPr>
        <w:t>教育费附加</w:t>
      </w:r>
      <w:r>
        <w:rPr>
          <w:rStyle w:val="11"/>
          <w:rFonts w:hint="eastAsia" w:ascii="仿宋_GB2312" w:hAnsi="仿宋_GB2312" w:eastAsia="仿宋_GB2312" w:cs="仿宋_GB2312"/>
          <w:b w:val="0"/>
          <w:bCs w:val="0"/>
          <w:color w:val="auto"/>
          <w:kern w:val="2"/>
          <w:sz w:val="32"/>
          <w:szCs w:val="32"/>
          <w:lang w:val="en-US" w:eastAsia="zh-Hans" w:bidi="ar-SA"/>
        </w:rPr>
        <w:t>的用途</w:t>
      </w:r>
      <w:r>
        <w:rPr>
          <w:rStyle w:val="11"/>
          <w:rFonts w:hint="eastAsia" w:ascii="仿宋_GB2312" w:hAnsi="仿宋_GB2312" w:eastAsia="仿宋_GB2312" w:cs="仿宋_GB2312"/>
          <w:b w:val="0"/>
          <w:bCs w:val="0"/>
          <w:color w:val="auto"/>
          <w:kern w:val="2"/>
          <w:sz w:val="32"/>
          <w:szCs w:val="32"/>
          <w:lang w:val="en-US" w:eastAsia="zh-CN" w:bidi="ar-SA"/>
        </w:rPr>
        <w:t>（第六十一条），对</w:t>
      </w:r>
      <w:r>
        <w:rPr>
          <w:rStyle w:val="11"/>
          <w:rFonts w:hint="eastAsia" w:ascii="仿宋_GB2312" w:hAnsi="仿宋_GB2312" w:eastAsia="仿宋_GB2312" w:cs="仿宋_GB2312"/>
          <w:b w:val="0"/>
          <w:bCs w:val="0"/>
          <w:color w:val="auto"/>
          <w:kern w:val="2"/>
          <w:sz w:val="32"/>
          <w:szCs w:val="32"/>
          <w:lang w:val="en-US" w:eastAsia="zh-Hans" w:bidi="ar-SA"/>
        </w:rPr>
        <w:t>符合条件的职业</w:t>
      </w:r>
      <w:r>
        <w:rPr>
          <w:rStyle w:val="11"/>
          <w:rFonts w:hint="eastAsia" w:ascii="仿宋_GB2312" w:hAnsi="仿宋_GB2312" w:eastAsia="仿宋_GB2312" w:cs="仿宋_GB2312"/>
          <w:b w:val="0"/>
          <w:bCs w:val="0"/>
          <w:color w:val="auto"/>
          <w:kern w:val="2"/>
          <w:sz w:val="32"/>
          <w:szCs w:val="32"/>
          <w:lang w:val="en-US" w:eastAsia="zh-CN" w:bidi="ar-SA"/>
        </w:rPr>
        <w:t>培训载体按规定予以</w:t>
      </w:r>
      <w:r>
        <w:rPr>
          <w:rStyle w:val="11"/>
          <w:rFonts w:hint="eastAsia" w:ascii="仿宋_GB2312" w:hAnsi="仿宋_GB2312" w:eastAsia="仿宋_GB2312" w:cs="仿宋_GB2312"/>
          <w:b w:val="0"/>
          <w:bCs w:val="0"/>
          <w:color w:val="auto"/>
          <w:kern w:val="2"/>
          <w:sz w:val="32"/>
          <w:szCs w:val="32"/>
          <w:lang w:val="en-US" w:eastAsia="zh-Hans" w:bidi="ar-SA"/>
        </w:rPr>
        <w:t>奖补</w:t>
      </w:r>
      <w:r>
        <w:rPr>
          <w:rStyle w:val="11"/>
          <w:rFonts w:hint="eastAsia" w:ascii="仿宋_GB2312" w:hAnsi="仿宋_GB2312" w:eastAsia="仿宋_GB2312" w:cs="仿宋_GB2312"/>
          <w:b w:val="0"/>
          <w:bCs w:val="0"/>
          <w:color w:val="auto"/>
          <w:kern w:val="2"/>
          <w:sz w:val="32"/>
          <w:szCs w:val="32"/>
          <w:lang w:val="en-US" w:eastAsia="zh-CN" w:bidi="ar-SA"/>
        </w:rPr>
        <w:t>（第</w:t>
      </w:r>
      <w:bookmarkStart w:id="0" w:name="_GoBack"/>
      <w:bookmarkEnd w:id="0"/>
      <w:r>
        <w:rPr>
          <w:rStyle w:val="11"/>
          <w:rFonts w:hint="eastAsia" w:ascii="仿宋_GB2312" w:hAnsi="仿宋_GB2312" w:eastAsia="仿宋_GB2312" w:cs="仿宋_GB2312"/>
          <w:b w:val="0"/>
          <w:bCs w:val="0"/>
          <w:color w:val="auto"/>
          <w:kern w:val="2"/>
          <w:sz w:val="32"/>
          <w:szCs w:val="32"/>
          <w:lang w:val="en-US" w:eastAsia="zh-CN" w:bidi="ar-SA"/>
        </w:rPr>
        <w:t>六十二条）。</w:t>
      </w: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文星简小标宋">
    <w:altName w:val="宋体"/>
    <w:panose1 w:val="00000000000000000000"/>
    <w:charset w:val="00"/>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12</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12</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MDg0YjQyOWQyOWViNDBiMTZjOTY0OTEzMDQ1NDYifQ=="/>
  </w:docVars>
  <w:rsids>
    <w:rsidRoot w:val="4A1947CF"/>
    <w:rsid w:val="02FF1B3F"/>
    <w:rsid w:val="19BA45C9"/>
    <w:rsid w:val="267411A1"/>
    <w:rsid w:val="30280D51"/>
    <w:rsid w:val="32AB3FC1"/>
    <w:rsid w:val="40541C7A"/>
    <w:rsid w:val="424F5A4F"/>
    <w:rsid w:val="4A1947CF"/>
    <w:rsid w:val="4D940F0A"/>
    <w:rsid w:val="5D3C179D"/>
    <w:rsid w:val="636E0701"/>
    <w:rsid w:val="751817DE"/>
    <w:rsid w:val="7D8D2620"/>
    <w:rsid w:val="7DE0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36"/>
    </w:pPr>
    <w:rPr>
      <w:rFonts w:ascii="宋体" w:hAnsi="宋体"/>
      <w:kern w:val="0"/>
      <w:sz w:val="33"/>
      <w:szCs w:val="33"/>
    </w:rPr>
  </w:style>
  <w:style w:type="paragraph" w:styleId="3">
    <w:name w:val="Title"/>
    <w:basedOn w:val="1"/>
    <w:next w:val="1"/>
    <w:qFormat/>
    <w:uiPriority w:val="0"/>
    <w:pPr>
      <w:spacing w:before="240" w:after="60"/>
      <w:jc w:val="center"/>
      <w:outlineLvl w:val="0"/>
    </w:pPr>
    <w:rPr>
      <w:rFonts w:ascii="Cambria" w:hAnsi="Cambria"/>
      <w:b/>
      <w:bCs/>
      <w:kern w:val="0"/>
      <w:sz w:val="32"/>
      <w:szCs w:val="32"/>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qFormat/>
    <w:uiPriority w:val="0"/>
    <w:pPr>
      <w:ind w:firstLine="420" w:firstLineChars="100"/>
    </w:pPr>
    <w:rPr>
      <w:rFonts w:eastAsia="文星简小标宋"/>
      <w:sz w:val="44"/>
      <w:szCs w:val="20"/>
    </w:rPr>
  </w:style>
  <w:style w:type="paragraph" w:styleId="9">
    <w:name w:val="Body Text First Indent 2"/>
    <w:basedOn w:val="5"/>
    <w:qFormat/>
    <w:uiPriority w:val="0"/>
    <w:pPr>
      <w:ind w:firstLine="420" w:firstLineChars="200"/>
    </w:pPr>
  </w:style>
  <w:style w:type="paragraph" w:customStyle="1" w:styleId="12">
    <w:name w:val="正文_0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0_1"/>
    <w:next w:val="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cp:lastPrinted>2023-11-08T07:16:00Z</cp:lastPrinted>
  <dcterms:modified xsi:type="dcterms:W3CDTF">2023-11-10T06:54:37Z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47A9AB33BA0045DF88ACFDB056DD68C4_12</vt:lpwstr>
  </property>
</Properties>
</file>