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jc w:val="both"/>
        <w:textAlignment w:val="baseline"/>
        <w:rPr>
          <w:rStyle w:val="9"/>
          <w:rFonts w:hint="eastAsia" w:ascii="黑体" w:hAnsi="黑体" w:eastAsia="黑体" w:cs="黑体"/>
          <w:spacing w:val="-2"/>
          <w:kern w:val="0"/>
          <w:sz w:val="32"/>
          <w:szCs w:val="32"/>
          <w:lang w:val="en-US" w:eastAsia="zh-CN" w:bidi="ar-SA"/>
        </w:rPr>
      </w:pPr>
      <w:r>
        <w:rPr>
          <w:rStyle w:val="9"/>
          <w:rFonts w:hint="eastAsia" w:ascii="黑体" w:hAnsi="黑体" w:eastAsia="黑体" w:cs="黑体"/>
          <w:spacing w:val="-2"/>
          <w:kern w:val="0"/>
          <w:sz w:val="32"/>
          <w:szCs w:val="32"/>
          <w:lang w:val="zh-CN" w:eastAsia="zh-CN" w:bidi="ar-SA"/>
        </w:rPr>
        <w:t>附件</w:t>
      </w:r>
      <w:r>
        <w:rPr>
          <w:rStyle w:val="9"/>
          <w:rFonts w:hint="eastAsia" w:ascii="黑体" w:hAnsi="黑体" w:eastAsia="黑体" w:cs="黑体"/>
          <w:spacing w:val="-2"/>
          <w:kern w:val="0"/>
          <w:sz w:val="32"/>
          <w:szCs w:val="32"/>
          <w:lang w:val="en-US" w:eastAsia="zh-CN" w:bidi="ar-SA"/>
        </w:rPr>
        <w:t>2</w:t>
      </w:r>
    </w:p>
    <w:p>
      <w:pPr>
        <w:keepNext w:val="0"/>
        <w:keepLines w:val="0"/>
        <w:pageBreakBefore w:val="0"/>
        <w:widowControl/>
        <w:kinsoku/>
        <w:wordWrap/>
        <w:overflowPunct/>
        <w:topLinePunct w:val="0"/>
        <w:autoSpaceDE/>
        <w:autoSpaceDN/>
        <w:bidi w:val="0"/>
        <w:adjustRightInd/>
        <w:snapToGrid/>
        <w:spacing w:line="560" w:lineRule="exact"/>
        <w:ind w:firstLine="0"/>
        <w:jc w:val="both"/>
        <w:textAlignment w:val="baseline"/>
        <w:rPr>
          <w:rFonts w:hint="eastAsia"/>
          <w:b/>
          <w:bCs/>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firstLine="0"/>
        <w:jc w:val="center"/>
        <w:textAlignment w:val="baseline"/>
        <w:rPr>
          <w:rStyle w:val="9"/>
          <w:rFonts w:ascii="宋体" w:hAnsi="宋体" w:eastAsia="宋体"/>
          <w:b/>
          <w:kern w:val="2"/>
          <w:sz w:val="44"/>
          <w:szCs w:val="44"/>
          <w:lang w:val="zh-CN" w:eastAsia="zh-CN" w:bidi="ar-SA"/>
        </w:rPr>
      </w:pPr>
      <w:r>
        <w:rPr>
          <w:rFonts w:hint="eastAsia"/>
          <w:b/>
          <w:bCs/>
          <w:sz w:val="44"/>
          <w:szCs w:val="44"/>
          <w:lang w:val="en-US" w:eastAsia="zh-CN"/>
        </w:rPr>
        <w:t>关于《深圳经济特区社会建设促进条例》废止案（草案征求意见稿）的说明</w:t>
      </w:r>
    </w:p>
    <w:p>
      <w:pPr>
        <w:keepNext w:val="0"/>
        <w:keepLines w:val="0"/>
        <w:pageBreakBefore w:val="0"/>
        <w:widowControl/>
        <w:kinsoku/>
        <w:wordWrap/>
        <w:overflowPunct/>
        <w:topLinePunct w:val="0"/>
        <w:autoSpaceDE/>
        <w:autoSpaceDN/>
        <w:bidi w:val="0"/>
        <w:adjustRightInd/>
        <w:snapToGrid/>
        <w:spacing w:line="560" w:lineRule="exact"/>
        <w:ind w:firstLine="632"/>
        <w:jc w:val="both"/>
        <w:textAlignment w:val="baseline"/>
        <w:rPr>
          <w:rStyle w:val="9"/>
          <w:rFonts w:ascii="仿宋_GB2312" w:hAnsi="???????" w:eastAsia="仿宋_GB2312"/>
          <w:spacing w:val="-2"/>
          <w:kern w:val="0"/>
          <w:sz w:val="32"/>
          <w:szCs w:val="32"/>
          <w:lang w:val="zh-CN" w:eastAsia="zh-CN" w:bidi="ar-SA"/>
        </w:rPr>
      </w:pPr>
      <w:bookmarkStart w:id="1" w:name="_GoBack"/>
      <w:bookmarkEnd w:id="1"/>
    </w:p>
    <w:p>
      <w:pPr>
        <w:keepNext w:val="0"/>
        <w:keepLines w:val="0"/>
        <w:pageBreakBefore w:val="0"/>
        <w:widowControl/>
        <w:kinsoku/>
        <w:wordWrap/>
        <w:overflowPunct/>
        <w:topLinePunct w:val="0"/>
        <w:autoSpaceDE/>
        <w:autoSpaceDN/>
        <w:bidi w:val="0"/>
        <w:adjustRightInd/>
        <w:snapToGrid/>
        <w:spacing w:line="560" w:lineRule="exact"/>
        <w:ind w:firstLine="632"/>
        <w:jc w:val="both"/>
        <w:textAlignment w:val="baseline"/>
        <w:rPr>
          <w:rStyle w:val="9"/>
          <w:rFonts w:ascii="仿宋_GB2312" w:hAnsi="???????" w:eastAsia="仿宋_GB2312"/>
          <w:spacing w:val="-2"/>
          <w:kern w:val="0"/>
          <w:sz w:val="32"/>
          <w:szCs w:val="32"/>
          <w:lang w:val="zh-CN" w:eastAsia="zh-CN" w:bidi="ar-SA"/>
        </w:rPr>
      </w:pPr>
      <w:r>
        <w:rPr>
          <w:rFonts w:hint="eastAsia" w:ascii="仿宋_GB2312" w:eastAsia="仿宋_GB2312" w:cs="仿宋_GB2312"/>
          <w:b w:val="0"/>
          <w:bCs w:val="0"/>
          <w:sz w:val="32"/>
          <w:szCs w:val="32"/>
          <w:lang w:val="en-US" w:eastAsia="zh-CN"/>
        </w:rPr>
        <w:t>2</w:t>
      </w:r>
      <w:r>
        <w:rPr>
          <w:rFonts w:hint="eastAsia" w:ascii="仿宋_GB2312" w:hAnsi="Calibri" w:eastAsia="仿宋_GB2312" w:cs="仿宋_GB2312"/>
          <w:b w:val="0"/>
          <w:bCs w:val="0"/>
          <w:sz w:val="32"/>
          <w:szCs w:val="32"/>
          <w:lang w:val="en-US" w:eastAsia="zh-CN"/>
        </w:rPr>
        <w:t>022</w:t>
      </w:r>
      <w:r>
        <w:rPr>
          <w:rFonts w:hint="eastAsia" w:ascii="仿宋_GB2312" w:hAnsi="Calibri" w:eastAsia="仿宋_GB2312" w:cs="仿宋_GB2312"/>
          <w:b w:val="0"/>
          <w:bCs w:val="0"/>
          <w:sz w:val="32"/>
          <w:szCs w:val="32"/>
        </w:rPr>
        <w:t>年</w:t>
      </w:r>
      <w:r>
        <w:rPr>
          <w:rFonts w:hint="eastAsia" w:ascii="仿宋_GB2312" w:hAnsi="Calibri" w:eastAsia="仿宋_GB2312" w:cs="仿宋_GB2312"/>
          <w:b w:val="0"/>
          <w:bCs w:val="0"/>
          <w:sz w:val="32"/>
          <w:szCs w:val="32"/>
          <w:lang w:val="en-US" w:eastAsia="zh-CN"/>
        </w:rPr>
        <w:t>6</w:t>
      </w:r>
      <w:r>
        <w:rPr>
          <w:rFonts w:hint="eastAsia" w:ascii="仿宋_GB2312" w:hAnsi="Calibri" w:eastAsia="仿宋_GB2312" w:cs="仿宋_GB2312"/>
          <w:b w:val="0"/>
          <w:bCs w:val="0"/>
          <w:sz w:val="32"/>
          <w:szCs w:val="32"/>
        </w:rPr>
        <w:t>月</w:t>
      </w:r>
      <w:r>
        <w:rPr>
          <w:rFonts w:hint="eastAsia" w:ascii="仿宋_GB2312" w:hAnsi="Calibri" w:eastAsia="仿宋_GB2312" w:cs="仿宋_GB2312"/>
          <w:b w:val="0"/>
          <w:bCs w:val="0"/>
          <w:sz w:val="32"/>
          <w:szCs w:val="32"/>
          <w:lang w:val="en-US" w:eastAsia="zh-CN"/>
        </w:rPr>
        <w:t>23</w:t>
      </w:r>
      <w:r>
        <w:rPr>
          <w:rFonts w:hint="eastAsia" w:ascii="仿宋_GB2312" w:hAnsi="Calibri" w:eastAsia="仿宋_GB2312" w:cs="仿宋_GB2312"/>
          <w:b w:val="0"/>
          <w:bCs w:val="0"/>
          <w:sz w:val="32"/>
          <w:szCs w:val="32"/>
        </w:rPr>
        <w:t>日市七届人大常委会第</w:t>
      </w:r>
      <w:r>
        <w:rPr>
          <w:rFonts w:hint="eastAsia" w:ascii="仿宋_GB2312" w:hAnsi="Calibri" w:eastAsia="仿宋_GB2312" w:cs="仿宋_GB2312"/>
          <w:b w:val="0"/>
          <w:bCs w:val="0"/>
          <w:sz w:val="32"/>
          <w:szCs w:val="32"/>
          <w:lang w:eastAsia="zh-CN"/>
        </w:rPr>
        <w:t>十</w:t>
      </w:r>
      <w:r>
        <w:rPr>
          <w:rFonts w:hint="eastAsia" w:ascii="仿宋_GB2312" w:hAnsi="Calibri" w:eastAsia="仿宋_GB2312" w:cs="仿宋_GB2312"/>
          <w:b w:val="0"/>
          <w:bCs w:val="0"/>
          <w:sz w:val="32"/>
          <w:szCs w:val="32"/>
        </w:rPr>
        <w:t>次会议通过了《深圳经济特区社会建设条例》，</w:t>
      </w:r>
      <w:r>
        <w:rPr>
          <w:rFonts w:hint="eastAsia" w:ascii="仿宋_GB2312" w:hAnsi="Calibri" w:eastAsia="仿宋_GB2312" w:cs="仿宋_GB2312"/>
          <w:b w:val="0"/>
          <w:bCs w:val="0"/>
          <w:sz w:val="32"/>
          <w:szCs w:val="32"/>
          <w:lang w:eastAsia="zh-CN"/>
        </w:rPr>
        <w:t>自</w:t>
      </w:r>
      <w:r>
        <w:rPr>
          <w:rFonts w:hint="eastAsia" w:ascii="仿宋_GB2312" w:hAnsi="Calibri" w:eastAsia="仿宋_GB2312" w:cs="仿宋_GB2312"/>
          <w:b w:val="0"/>
          <w:bCs w:val="0"/>
          <w:sz w:val="32"/>
          <w:szCs w:val="32"/>
        </w:rPr>
        <w:t>2022年</w:t>
      </w:r>
      <w:r>
        <w:rPr>
          <w:rFonts w:hint="eastAsia" w:ascii="仿宋_GB2312" w:hAnsi="Calibri" w:eastAsia="仿宋_GB2312" w:cs="仿宋_GB2312"/>
          <w:b w:val="0"/>
          <w:bCs w:val="0"/>
          <w:sz w:val="32"/>
          <w:szCs w:val="32"/>
          <w:lang w:val="en-US" w:eastAsia="zh-CN"/>
        </w:rPr>
        <w:t>8</w:t>
      </w:r>
      <w:r>
        <w:rPr>
          <w:rFonts w:hint="eastAsia" w:ascii="仿宋_GB2312" w:hAnsi="Calibri" w:eastAsia="仿宋_GB2312" w:cs="仿宋_GB2312"/>
          <w:b w:val="0"/>
          <w:bCs w:val="0"/>
          <w:sz w:val="32"/>
          <w:szCs w:val="32"/>
        </w:rPr>
        <w:t>月</w:t>
      </w:r>
      <w:r>
        <w:rPr>
          <w:rFonts w:hint="eastAsia" w:ascii="仿宋_GB2312" w:hAnsi="Calibri" w:eastAsia="仿宋_GB2312" w:cs="仿宋_GB2312"/>
          <w:b w:val="0"/>
          <w:bCs w:val="0"/>
          <w:sz w:val="32"/>
          <w:szCs w:val="32"/>
          <w:lang w:val="en-US" w:eastAsia="zh-CN"/>
        </w:rPr>
        <w:t>1</w:t>
      </w:r>
      <w:r>
        <w:rPr>
          <w:rFonts w:hint="eastAsia" w:ascii="仿宋_GB2312" w:hAnsi="Calibri" w:eastAsia="仿宋_GB2312" w:cs="仿宋_GB2312"/>
          <w:b w:val="0"/>
          <w:bCs w:val="0"/>
          <w:sz w:val="32"/>
          <w:szCs w:val="32"/>
        </w:rPr>
        <w:t>日起施行。该条例已全面覆盖《深圳经济特区社会建设促进条例》</w:t>
      </w:r>
      <w:r>
        <w:rPr>
          <w:rFonts w:hint="eastAsia" w:ascii="仿宋_GB2312" w:eastAsia="仿宋_GB2312"/>
          <w:sz w:val="32"/>
          <w:szCs w:val="32"/>
        </w:rPr>
        <w:t>（以下简称《条例》）</w:t>
      </w:r>
      <w:r>
        <w:rPr>
          <w:rFonts w:hint="eastAsia" w:ascii="仿宋_GB2312" w:hAnsi="Calibri" w:eastAsia="仿宋_GB2312" w:cs="仿宋_GB2312"/>
          <w:b w:val="0"/>
          <w:bCs w:val="0"/>
          <w:sz w:val="32"/>
          <w:szCs w:val="32"/>
        </w:rPr>
        <w:t>的内容，因此，</w:t>
      </w:r>
      <w:r>
        <w:rPr>
          <w:rFonts w:hint="eastAsia" w:ascii="仿宋_GB2312" w:hAnsi="Calibri" w:eastAsia="仿宋_GB2312" w:cs="仿宋_GB2312"/>
          <w:b w:val="0"/>
          <w:bCs w:val="0"/>
          <w:sz w:val="32"/>
          <w:szCs w:val="32"/>
          <w:lang w:eastAsia="zh-CN"/>
        </w:rPr>
        <w:t>拟废止</w:t>
      </w:r>
      <w:r>
        <w:rPr>
          <w:rFonts w:hint="eastAsia" w:ascii="仿宋_GB2312" w:hAnsi="Calibri" w:eastAsia="仿宋_GB2312" w:cs="仿宋_GB2312"/>
          <w:b w:val="0"/>
          <w:bCs w:val="0"/>
          <w:sz w:val="32"/>
          <w:szCs w:val="32"/>
        </w:rPr>
        <w:t>《条例》</w:t>
      </w:r>
      <w:r>
        <w:rPr>
          <w:rFonts w:hint="eastAsia" w:ascii="仿宋_GB2312" w:eastAsia="仿宋_GB2312" w:cs="宋体" w:hAnsiTheme="majorEastAsia"/>
          <w:bCs/>
          <w:kern w:val="36"/>
          <w:sz w:val="32"/>
          <w:szCs w:val="32"/>
          <w:lang w:eastAsia="zh-CN"/>
        </w:rPr>
        <w:t>。现</w:t>
      </w:r>
      <w:r>
        <w:rPr>
          <w:rStyle w:val="9"/>
          <w:rFonts w:ascii="仿宋_GB2312" w:hAnsi="???????" w:eastAsia="仿宋_GB2312"/>
          <w:spacing w:val="-2"/>
          <w:kern w:val="0"/>
          <w:sz w:val="32"/>
          <w:szCs w:val="32"/>
          <w:lang w:val="zh-CN" w:eastAsia="zh-CN" w:bidi="ar-SA"/>
        </w:rPr>
        <w:t>就有关情况说明如下。</w:t>
      </w:r>
    </w:p>
    <w:p>
      <w:pPr>
        <w:keepNext w:val="0"/>
        <w:keepLines w:val="0"/>
        <w:pageBreakBefore w:val="0"/>
        <w:widowControl/>
        <w:kinsoku/>
        <w:wordWrap/>
        <w:overflowPunct/>
        <w:topLinePunct w:val="0"/>
        <w:autoSpaceDE/>
        <w:autoSpaceDN/>
        <w:bidi w:val="0"/>
        <w:adjustRightInd/>
        <w:snapToGrid/>
        <w:spacing w:line="560" w:lineRule="exact"/>
        <w:ind w:firstLine="632"/>
        <w:jc w:val="both"/>
        <w:textAlignment w:val="baseline"/>
        <w:rPr>
          <w:rFonts w:hint="eastAsia" w:ascii="仿宋_GB2312" w:eastAsia="仿宋_GB2312"/>
          <w:sz w:val="32"/>
          <w:szCs w:val="32"/>
        </w:rPr>
      </w:pPr>
      <w:r>
        <w:rPr>
          <w:rFonts w:hint="eastAsia" w:ascii="仿宋_GB2312" w:eastAsia="仿宋_GB2312"/>
          <w:sz w:val="32"/>
          <w:szCs w:val="32"/>
        </w:rPr>
        <w:t>《条例》于2012年1月12日经市五届人大三次会议通过，自2012年3月1日起施行。《条例》是全国率先专门制定的社会建设领域综合性地方法规，为保障和促进我市社会建设发挥了积极作用。党的十八</w:t>
      </w:r>
      <w:r>
        <w:rPr>
          <w:rFonts w:hint="eastAsia" w:ascii="仿宋_GB2312" w:eastAsia="仿宋_GB2312"/>
          <w:sz w:val="32"/>
          <w:szCs w:val="32"/>
          <w:lang w:eastAsia="zh-CN"/>
        </w:rPr>
        <w:t>大</w:t>
      </w:r>
      <w:r>
        <w:rPr>
          <w:rFonts w:hint="eastAsia" w:ascii="仿宋_GB2312" w:eastAsia="仿宋_GB2312"/>
          <w:sz w:val="32"/>
          <w:szCs w:val="32"/>
        </w:rPr>
        <w:t>以来，社会建设的内涵和要求发生了深刻变化，建设粤港澳大湾区和社会主义先行示范区，也对深</w:t>
      </w:r>
      <w:r>
        <w:rPr>
          <w:rFonts w:hint="eastAsia" w:ascii="仿宋_GB2312" w:hAnsi="Calibri" w:eastAsia="仿宋_GB2312" w:cs="Times New Roman"/>
          <w:sz w:val="32"/>
          <w:szCs w:val="32"/>
        </w:rPr>
        <w:t>圳的社会建设提出了新的更高要求，《条例》的内容已难以适应实践需要，亟需修改完善。为适应深圳“双区”建设的现实需要，</w:t>
      </w:r>
      <w:r>
        <w:rPr>
          <w:rFonts w:hint="eastAsia" w:ascii="仿宋_GB2312" w:hAnsi="Calibri" w:eastAsia="仿宋_GB2312" w:cs="Times New Roman"/>
          <w:sz w:val="32"/>
          <w:szCs w:val="32"/>
          <w:lang w:val="en-US" w:eastAsia="zh-CN"/>
        </w:rPr>
        <w:t>2022</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6</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23</w:t>
      </w:r>
      <w:r>
        <w:rPr>
          <w:rFonts w:hint="eastAsia" w:ascii="仿宋_GB2312" w:hAnsi="Calibri" w:eastAsia="仿宋_GB2312" w:cs="Times New Roman"/>
          <w:sz w:val="32"/>
          <w:szCs w:val="32"/>
        </w:rPr>
        <w:t>日市七届人大常委会第</w:t>
      </w:r>
      <w:r>
        <w:rPr>
          <w:rFonts w:hint="eastAsia" w:ascii="仿宋_GB2312" w:hAnsi="Calibri" w:eastAsia="仿宋_GB2312" w:cs="Times New Roman"/>
          <w:sz w:val="32"/>
          <w:szCs w:val="32"/>
          <w:lang w:eastAsia="zh-CN"/>
        </w:rPr>
        <w:t>十</w:t>
      </w:r>
      <w:r>
        <w:rPr>
          <w:rFonts w:hint="eastAsia" w:ascii="仿宋_GB2312" w:hAnsi="Calibri" w:eastAsia="仿宋_GB2312" w:cs="Times New Roman"/>
          <w:sz w:val="32"/>
          <w:szCs w:val="32"/>
        </w:rPr>
        <w:t>次会议通过了《深圳经济特区社会建设条例》，</w:t>
      </w:r>
      <w:r>
        <w:rPr>
          <w:rFonts w:hint="eastAsia" w:ascii="仿宋_GB2312" w:hAnsi="Calibri" w:eastAsia="仿宋_GB2312" w:cs="Times New Roman"/>
          <w:sz w:val="32"/>
          <w:szCs w:val="32"/>
          <w:lang w:eastAsia="zh-CN"/>
        </w:rPr>
        <w:t>自</w:t>
      </w:r>
      <w:r>
        <w:rPr>
          <w:rFonts w:hint="eastAsia" w:ascii="仿宋_GB2312" w:hAnsi="Calibri" w:eastAsia="仿宋_GB2312" w:cs="Times New Roman"/>
          <w:sz w:val="32"/>
          <w:szCs w:val="32"/>
        </w:rPr>
        <w:t>2022年</w:t>
      </w:r>
      <w:r>
        <w:rPr>
          <w:rFonts w:hint="eastAsia" w:ascii="仿宋_GB2312" w:hAnsi="Calibri" w:eastAsia="仿宋_GB2312" w:cs="Times New Roman"/>
          <w:sz w:val="32"/>
          <w:szCs w:val="32"/>
          <w:lang w:val="en-US" w:eastAsia="zh-CN"/>
        </w:rPr>
        <w:t>8</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日起施</w:t>
      </w:r>
      <w:r>
        <w:rPr>
          <w:rFonts w:hint="eastAsia" w:ascii="仿宋_GB2312" w:eastAsia="仿宋_GB2312"/>
          <w:sz w:val="32"/>
          <w:szCs w:val="32"/>
        </w:rPr>
        <w:t>行。新条例贯彻落实党的十八大以来党中央关于社会建设的决策部署和省委的有关工作部署、市委的有关工作安排，</w:t>
      </w:r>
      <w:r>
        <w:rPr>
          <w:rFonts w:hint="eastAsia" w:ascii="仿宋_GB2312" w:hAnsi="仿宋" w:eastAsia="仿宋_GB2312"/>
          <w:sz w:val="32"/>
          <w:szCs w:val="32"/>
        </w:rPr>
        <w:t>统筹推进“五位一体”总体布局，</w:t>
      </w:r>
      <w:r>
        <w:rPr>
          <w:rFonts w:hint="eastAsia" w:ascii="仿宋_GB2312" w:eastAsia="仿宋_GB2312"/>
          <w:sz w:val="32"/>
          <w:szCs w:val="32"/>
        </w:rPr>
        <w:t>围绕“双区”建设、综合改革试点方案以及“十四五”规划的</w:t>
      </w:r>
      <w:r>
        <w:rPr>
          <w:rFonts w:hint="eastAsia" w:ascii="仿宋_GB2312" w:hAnsi="仿宋" w:eastAsia="仿宋_GB2312"/>
          <w:sz w:val="32"/>
          <w:szCs w:val="32"/>
        </w:rPr>
        <w:t>目标要求</w:t>
      </w:r>
      <w:r>
        <w:rPr>
          <w:rFonts w:hint="eastAsia" w:ascii="仿宋_GB2312" w:eastAsia="仿宋_GB2312"/>
          <w:sz w:val="32"/>
          <w:szCs w:val="32"/>
        </w:rPr>
        <w:t>，在更高水平、更高层次上</w:t>
      </w:r>
      <w:r>
        <w:rPr>
          <w:rFonts w:hint="eastAsia" w:ascii="仿宋_GB2312" w:hAnsi="微软雅黑" w:eastAsia="仿宋_GB2312"/>
          <w:sz w:val="32"/>
          <w:szCs w:val="32"/>
        </w:rPr>
        <w:t>加强我市社会建设，提高保障和改善民生水平，加强和创新社会治理，</w:t>
      </w:r>
      <w:r>
        <w:rPr>
          <w:rFonts w:hint="eastAsia" w:ascii="仿宋_GB2312" w:eastAsia="仿宋_GB2312"/>
          <w:sz w:val="32"/>
          <w:szCs w:val="32"/>
        </w:rPr>
        <w:t>以立法引领、推动我市社会建设</w:t>
      </w:r>
      <w:r>
        <w:rPr>
          <w:rFonts w:hint="eastAsia" w:ascii="仿宋_GB2312" w:hAnsi="微软雅黑" w:eastAsia="仿宋_GB2312"/>
          <w:sz w:val="32"/>
          <w:szCs w:val="32"/>
        </w:rPr>
        <w:t>高质量、可持续、创新性发展</w:t>
      </w:r>
      <w:r>
        <w:rPr>
          <w:rFonts w:hint="eastAsia" w:ascii="仿宋_GB2312" w:eastAsia="仿宋_GB2312"/>
          <w:sz w:val="32"/>
          <w:szCs w:val="32"/>
        </w:rPr>
        <w:t>，为我市的社会建设事业提供更加坚强有力的法治保障。</w:t>
      </w:r>
      <w:r>
        <w:rPr>
          <w:rStyle w:val="9"/>
          <w:rFonts w:hint="eastAsia" w:ascii="仿宋_GB2312" w:hAnsi="???????" w:eastAsia="仿宋_GB2312"/>
          <w:spacing w:val="-2"/>
          <w:kern w:val="0"/>
          <w:sz w:val="32"/>
          <w:szCs w:val="32"/>
          <w:lang w:val="zh-CN"/>
        </w:rPr>
        <w:t>新条例</w:t>
      </w:r>
      <w:r>
        <w:rPr>
          <w:rFonts w:hint="eastAsia" w:ascii="仿宋_GB2312" w:hAnsi="微软雅黑" w:eastAsia="仿宋_GB2312"/>
          <w:sz w:val="32"/>
          <w:szCs w:val="32"/>
        </w:rPr>
        <w:t>主要</w:t>
      </w:r>
      <w:r>
        <w:rPr>
          <w:rFonts w:hint="eastAsia" w:ascii="仿宋_GB2312" w:eastAsia="仿宋_GB2312"/>
          <w:sz w:val="32"/>
          <w:szCs w:val="32"/>
        </w:rPr>
        <w:t>内容涵盖公共教育、劳动就业、社会保障、卫生健康、住房发展、矛盾纠纷化解、社会治安防控、公共安全保障以及基层社会治理等多方面</w:t>
      </w:r>
      <w:r>
        <w:rPr>
          <w:rFonts w:hint="eastAsia" w:ascii="仿宋_GB2312" w:hAnsi="仿宋_GB2312" w:eastAsia="仿宋_GB2312" w:cs="仿宋_GB2312"/>
          <w:sz w:val="32"/>
          <w:szCs w:val="32"/>
        </w:rPr>
        <w:t>，</w:t>
      </w:r>
      <w:r>
        <w:rPr>
          <w:rStyle w:val="9"/>
          <w:rFonts w:hint="eastAsia" w:ascii="仿宋_GB2312" w:hAnsi="???????" w:eastAsia="仿宋_GB2312"/>
          <w:spacing w:val="-2"/>
          <w:kern w:val="0"/>
          <w:sz w:val="32"/>
          <w:szCs w:val="32"/>
          <w:lang w:val="zh-CN"/>
        </w:rPr>
        <w:t>已全面覆盖</w:t>
      </w:r>
      <w:r>
        <w:rPr>
          <w:rStyle w:val="9"/>
          <w:rFonts w:hint="eastAsia" w:ascii="仿宋_GB2312" w:hAnsi="???????" w:eastAsia="仿宋_GB2312"/>
          <w:spacing w:val="-2"/>
          <w:kern w:val="0"/>
          <w:sz w:val="32"/>
          <w:szCs w:val="32"/>
        </w:rPr>
        <w:t>《条例》内容</w:t>
      </w:r>
      <w:bookmarkStart w:id="0" w:name="OLE_LINK1"/>
      <w:r>
        <w:rPr>
          <w:rStyle w:val="9"/>
          <w:rFonts w:hint="eastAsia" w:ascii="仿宋_GB2312" w:hAnsi="???????" w:eastAsia="仿宋_GB2312"/>
          <w:spacing w:val="-2"/>
          <w:kern w:val="0"/>
          <w:sz w:val="32"/>
          <w:szCs w:val="32"/>
        </w:rPr>
        <w:t>。</w:t>
      </w:r>
      <w:bookmarkEnd w:id="0"/>
      <w:r>
        <w:rPr>
          <w:rStyle w:val="9"/>
          <w:rFonts w:hint="eastAsia" w:ascii="仿宋_GB2312" w:hAnsi="???????" w:eastAsia="仿宋_GB2312"/>
          <w:spacing w:val="-2"/>
          <w:kern w:val="0"/>
          <w:sz w:val="32"/>
          <w:szCs w:val="32"/>
          <w:lang w:val="zh-CN"/>
        </w:rPr>
        <w:t>因此，拟提请废止《条例》。《条例》废止后，我市</w:t>
      </w:r>
      <w:r>
        <w:rPr>
          <w:rStyle w:val="9"/>
          <w:rFonts w:hint="eastAsia" w:ascii="仿宋_GB2312" w:hAnsi="???????" w:eastAsia="仿宋_GB2312"/>
          <w:spacing w:val="-2"/>
          <w:kern w:val="0"/>
          <w:sz w:val="32"/>
          <w:szCs w:val="32"/>
        </w:rPr>
        <w:t>社会建设</w:t>
      </w:r>
      <w:r>
        <w:rPr>
          <w:rStyle w:val="9"/>
          <w:rFonts w:hint="eastAsia" w:ascii="仿宋_GB2312" w:hAnsi="???????" w:eastAsia="仿宋_GB2312"/>
          <w:spacing w:val="-2"/>
          <w:kern w:val="0"/>
          <w:sz w:val="32"/>
          <w:szCs w:val="32"/>
          <w:lang w:val="zh-CN"/>
        </w:rPr>
        <w:t>相关工作将依据</w:t>
      </w:r>
      <w:r>
        <w:rPr>
          <w:rFonts w:hint="eastAsia" w:ascii="仿宋_GB2312" w:hAnsi="仿宋_GB2312" w:eastAsia="仿宋_GB2312" w:cs="仿宋_GB2312"/>
          <w:sz w:val="32"/>
          <w:szCs w:val="32"/>
        </w:rPr>
        <w:t>《</w:t>
      </w:r>
      <w:r>
        <w:rPr>
          <w:rFonts w:hint="eastAsia" w:ascii="仿宋_GB2312" w:eastAsia="仿宋_GB2312"/>
          <w:sz w:val="32"/>
          <w:szCs w:val="32"/>
        </w:rPr>
        <w:t>深圳经济特区社会建设条例</w:t>
      </w:r>
      <w:r>
        <w:rPr>
          <w:rFonts w:hint="eastAsia" w:ascii="仿宋_GB2312" w:hAnsi="仿宋_GB2312" w:eastAsia="仿宋_GB2312" w:cs="仿宋_GB2312"/>
          <w:sz w:val="32"/>
          <w:szCs w:val="32"/>
        </w:rPr>
        <w:t>》以及其他社会建设领域单项法规</w:t>
      </w:r>
      <w:r>
        <w:rPr>
          <w:rStyle w:val="9"/>
          <w:rFonts w:hint="eastAsia" w:ascii="仿宋_GB2312" w:hAnsi="???????" w:eastAsia="仿宋_GB2312"/>
          <w:spacing w:val="-2"/>
          <w:kern w:val="0"/>
          <w:sz w:val="32"/>
          <w:szCs w:val="32"/>
          <w:lang w:val="zh-CN"/>
        </w:rPr>
        <w:t>执行。</w:t>
      </w:r>
    </w:p>
    <w:p>
      <w:pPr>
        <w:keepNext w:val="0"/>
        <w:keepLines w:val="0"/>
        <w:pageBreakBefore w:val="0"/>
        <w:widowControl/>
        <w:kinsoku/>
        <w:wordWrap/>
        <w:overflowPunct/>
        <w:topLinePunct w:val="0"/>
        <w:autoSpaceDE/>
        <w:autoSpaceDN/>
        <w:bidi w:val="0"/>
        <w:adjustRightInd/>
        <w:snapToGrid/>
        <w:spacing w:line="560" w:lineRule="exact"/>
        <w:ind w:firstLine="632"/>
        <w:jc w:val="both"/>
        <w:textAlignment w:val="baseline"/>
        <w:rPr>
          <w:rStyle w:val="9"/>
          <w:kern w:val="2"/>
          <w:sz w:val="21"/>
          <w:szCs w:val="21"/>
          <w:lang w:val="en-US" w:eastAsia="zh-CN" w:bidi="ar-SA"/>
        </w:rPr>
      </w:pPr>
    </w:p>
    <w:sectPr>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微软雅黑">
    <w:altName w:val="黑体"/>
    <w:panose1 w:val="020B0503020204020204"/>
    <w:charset w:val="00"/>
    <w:family w:val="swiss"/>
    <w:pitch w:val="default"/>
    <w:sig w:usb0="00000000" w:usb1="00000000" w:usb2="00000016" w:usb3="00000000" w:csb0="0004001F" w:csb1="0000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isplayHorizontalDrawingGridEvery w:val="1"/>
  <w:displayVerticalDrawingGridEvery w:val="1"/>
  <w:doNotUseMarginsForDrawingGridOrigin w:val="true"/>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EE1675"/>
    <w:rsid w:val="3ED3064A"/>
    <w:rsid w:val="41C27BEC"/>
    <w:rsid w:val="529766AC"/>
    <w:rsid w:val="6D372D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qFormat/>
    <w:uiPriority w:val="0"/>
    <w:pPr>
      <w:jc w:val="both"/>
      <w:textAlignment w:val="baseline"/>
    </w:pPr>
    <w:rPr>
      <w:rFonts w:ascii="Calibri" w:hAnsi="Calibri" w:eastAsia="宋体" w:cs="Times New Roman"/>
      <w:kern w:val="2"/>
      <w:sz w:val="21"/>
      <w:szCs w:val="21"/>
      <w:lang w:val="en-US" w:eastAsia="zh-CN" w:bidi="ar-SA"/>
    </w:rPr>
  </w:style>
  <w:style w:type="paragraph" w:styleId="4">
    <w:name w:val="heading 3"/>
    <w:basedOn w:val="1"/>
    <w:next w:val="1"/>
    <w:qFormat/>
    <w:uiPriority w:val="0"/>
    <w:pPr>
      <w:spacing w:line="572" w:lineRule="exact"/>
      <w:jc w:val="center"/>
      <w:outlineLvl w:val="2"/>
    </w:pPr>
    <w:rPr>
      <w:rFonts w:hint="eastAsia" w:ascii="宋体" w:hAnsi="宋体" w:eastAsia="方正小标宋简体" w:cs="宋体"/>
      <w:kern w:val="0"/>
      <w:sz w:val="44"/>
      <w:szCs w:val="27"/>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line="540" w:lineRule="exact"/>
      <w:jc w:val="center"/>
    </w:pPr>
    <w:rPr>
      <w:rFonts w:ascii="宋体"/>
      <w:b/>
      <w:bCs/>
      <w:sz w:val="44"/>
    </w:rPr>
  </w:style>
  <w:style w:type="paragraph" w:styleId="3">
    <w:name w:val="Title"/>
    <w:basedOn w:val="1"/>
    <w:next w:val="1"/>
    <w:qFormat/>
    <w:uiPriority w:val="0"/>
    <w:pPr>
      <w:spacing w:before="240" w:after="60"/>
      <w:jc w:val="center"/>
      <w:textAlignment w:val="baseline"/>
    </w:pPr>
    <w:rPr>
      <w:rFonts w:ascii="Cambria" w:hAnsi="Cambria" w:eastAsia="宋体" w:cs="Times New Roman"/>
      <w:b/>
      <w:bCs/>
      <w:kern w:val="2"/>
      <w:sz w:val="32"/>
      <w:szCs w:val="32"/>
      <w:lang w:val="en-US" w:eastAsia="zh-CN" w:bidi="ar-SA"/>
    </w:rPr>
  </w:style>
  <w:style w:type="paragraph" w:styleId="5">
    <w:name w:val="footer"/>
    <w:basedOn w:val="1"/>
    <w:link w:val="12"/>
    <w:qFormat/>
    <w:uiPriority w:val="0"/>
    <w:pPr>
      <w:tabs>
        <w:tab w:val="center" w:pos="4153"/>
        <w:tab w:val="right" w:pos="8306"/>
      </w:tabs>
      <w:snapToGrid w:val="0"/>
      <w:jc w:val="left"/>
      <w:textAlignment w:val="baseline"/>
    </w:pPr>
    <w:rPr>
      <w:kern w:val="2"/>
      <w:sz w:val="18"/>
      <w:szCs w:val="18"/>
      <w:lang w:val="en-US" w:eastAsia="zh-CN" w:bidi="ar-SA"/>
    </w:rPr>
  </w:style>
  <w:style w:type="paragraph" w:styleId="6">
    <w:name w:val="header"/>
    <w:basedOn w:val="1"/>
    <w:link w:val="11"/>
    <w:qFormat/>
    <w:uiPriority w:val="0"/>
    <w:pPr>
      <w:pBdr>
        <w:bottom w:val="single" w:color="000000" w:sz="6" w:space="1"/>
      </w:pBdr>
      <w:tabs>
        <w:tab w:val="center" w:pos="4153"/>
        <w:tab w:val="right" w:pos="8306"/>
      </w:tabs>
      <w:snapToGrid w:val="0"/>
      <w:jc w:val="center"/>
      <w:textAlignment w:val="baseline"/>
    </w:pPr>
    <w:rPr>
      <w:kern w:val="2"/>
      <w:sz w:val="18"/>
      <w:szCs w:val="18"/>
      <w:lang w:val="en-US" w:eastAsia="zh-CN" w:bidi="ar-SA"/>
    </w:rPr>
  </w:style>
  <w:style w:type="character" w:customStyle="1" w:styleId="9">
    <w:name w:val="NormalCharacter"/>
    <w:link w:val="1"/>
    <w:semiHidden/>
    <w:qFormat/>
    <w:uiPriority w:val="0"/>
  </w:style>
  <w:style w:type="table" w:customStyle="1" w:styleId="10">
    <w:name w:val="TableNormal"/>
    <w:semiHidden/>
    <w:qFormat/>
    <w:uiPriority w:val="0"/>
  </w:style>
  <w:style w:type="character" w:customStyle="1" w:styleId="11">
    <w:name w:val="UserStyle_0"/>
    <w:link w:val="6"/>
    <w:qFormat/>
    <w:uiPriority w:val="0"/>
    <w:rPr>
      <w:kern w:val="2"/>
      <w:sz w:val="18"/>
      <w:szCs w:val="18"/>
    </w:rPr>
  </w:style>
  <w:style w:type="character" w:customStyle="1" w:styleId="12">
    <w:name w:val="UserStyle_1"/>
    <w:link w:val="5"/>
    <w:qFormat/>
    <w:uiPriority w:val="0"/>
    <w:rPr>
      <w:kern w:val="2"/>
      <w:sz w:val="18"/>
      <w:szCs w:val="18"/>
    </w:rPr>
  </w:style>
  <w:style w:type="character" w:customStyle="1" w:styleId="13">
    <w:name w:val="UserStyle_2"/>
    <w:link w:val="14"/>
    <w:qFormat/>
    <w:uiPriority w:val="0"/>
    <w:rPr>
      <w:kern w:val="2"/>
      <w:sz w:val="18"/>
      <w:szCs w:val="18"/>
    </w:rPr>
  </w:style>
  <w:style w:type="paragraph" w:customStyle="1" w:styleId="14">
    <w:name w:val="Acetate"/>
    <w:basedOn w:val="1"/>
    <w:link w:val="13"/>
    <w:qFormat/>
    <w:uiPriority w:val="0"/>
    <w:pPr>
      <w:jc w:val="both"/>
      <w:textAlignment w:val="baseline"/>
    </w:pPr>
    <w:rPr>
      <w:kern w:val="2"/>
      <w:sz w:val="18"/>
      <w:szCs w:val="18"/>
      <w:lang w:val="en-US" w:eastAsia="zh-CN" w:bidi="ar-SA"/>
    </w:rPr>
  </w:style>
  <w:style w:type="paragraph" w:customStyle="1" w:styleId="15">
    <w:name w:val="HtmlNormal"/>
    <w:basedOn w:val="1"/>
    <w:qFormat/>
    <w:uiPriority w:val="0"/>
    <w:pPr>
      <w:spacing w:before="100" w:beforeAutospacing="1" w:after="100" w:afterAutospacing="1"/>
      <w:ind w:left="0" w:right="0"/>
      <w:jc w:val="left"/>
      <w:textAlignment w:val="baseline"/>
    </w:pPr>
    <w:rPr>
      <w:kern w:val="0"/>
      <w:sz w:val="24"/>
      <w:szCs w:val="21"/>
      <w:lang w:val="en-US" w:eastAsia="zh-CN"/>
    </w:rPr>
  </w:style>
  <w:style w:type="paragraph" w:customStyle="1" w:styleId="16">
    <w:name w:val="AnnotationText"/>
    <w:basedOn w:val="1"/>
    <w:qFormat/>
    <w:uiPriority w:val="0"/>
    <w:pPr>
      <w:jc w:val="left"/>
      <w:textAlignment w:val="baseline"/>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Office_11.8.2.10337_F1E327BC-269C-435d-A152-05C5408002CA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2020-11-23T10:46:00Z</dcterms:created>
  <dc:creator>user</dc:creator>
  <cp:lastModifiedBy>panguoqing</cp:lastModifiedBy>
  <cp:lastPrinted>2020-11-23T11:11:00Z</cp:lastPrinted>
  <dcterms:modified xsi:type="dcterms:W3CDTF">2022-11-02T15:56:42Z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