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5FD19A">
      <w:pPr>
        <w:keepNext w:val="0"/>
        <w:keepLines w:val="0"/>
        <w:pageBreakBefore w:val="0"/>
        <w:widowControl/>
        <w:kinsoku w:val="0"/>
        <w:wordWrap/>
        <w:overflowPunct/>
        <w:topLinePunct w:val="0"/>
        <w:autoSpaceDE w:val="0"/>
        <w:autoSpaceDN w:val="0"/>
        <w:bidi w:val="0"/>
        <w:adjustRightInd w:val="0"/>
        <w:snapToGrid w:val="0"/>
        <w:spacing w:line="660" w:lineRule="exact"/>
        <w:ind w:left="0" w:right="0"/>
        <w:jc w:val="left"/>
        <w:textAlignment w:val="baseline"/>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w:t>
      </w:r>
    </w:p>
    <w:p w14:paraId="36D28628">
      <w:pPr>
        <w:keepNext w:val="0"/>
        <w:keepLines w:val="0"/>
        <w:pageBreakBefore w:val="0"/>
        <w:widowControl/>
        <w:kinsoku w:val="0"/>
        <w:wordWrap/>
        <w:overflowPunct/>
        <w:topLinePunct w:val="0"/>
        <w:autoSpaceDE w:val="0"/>
        <w:autoSpaceDN w:val="0"/>
        <w:bidi w:val="0"/>
        <w:adjustRightInd w:val="0"/>
        <w:snapToGrid w:val="0"/>
        <w:spacing w:line="660" w:lineRule="exact"/>
        <w:ind w:left="0" w:right="0"/>
        <w:jc w:val="center"/>
        <w:textAlignment w:val="baseline"/>
        <w:rPr>
          <w:rFonts w:hint="eastAsia" w:ascii="方正公文小标宋" w:hAnsi="方正公文小标宋" w:eastAsia="方正公文小标宋" w:cs="方正公文小标宋"/>
          <w:b w:val="0"/>
          <w:bCs w:val="0"/>
          <w:sz w:val="44"/>
          <w:szCs w:val="44"/>
        </w:rPr>
      </w:pPr>
      <w:bookmarkStart w:id="0" w:name="_GoBack"/>
      <w:bookmarkEnd w:id="0"/>
    </w:p>
    <w:p w14:paraId="72E0F372">
      <w:pPr>
        <w:keepNext w:val="0"/>
        <w:keepLines w:val="0"/>
        <w:pageBreakBefore w:val="0"/>
        <w:widowControl/>
        <w:kinsoku w:val="0"/>
        <w:wordWrap/>
        <w:overflowPunct/>
        <w:topLinePunct w:val="0"/>
        <w:autoSpaceDE w:val="0"/>
        <w:autoSpaceDN w:val="0"/>
        <w:bidi w:val="0"/>
        <w:adjustRightInd w:val="0"/>
        <w:snapToGrid w:val="0"/>
        <w:spacing w:line="660" w:lineRule="exact"/>
        <w:ind w:left="0" w:right="0" w:firstLine="0"/>
        <w:jc w:val="center"/>
        <w:textAlignment w:val="baseline"/>
        <w:outlineLvl w:val="0"/>
        <w:rPr>
          <w:rFonts w:hint="eastAsia" w:ascii="方正公文小标宋" w:hAnsi="方正公文小标宋" w:eastAsia="方正公文小标宋" w:cs="方正公文小标宋"/>
          <w:b w:val="0"/>
          <w:bCs w:val="0"/>
          <w:spacing w:val="-26"/>
          <w:sz w:val="44"/>
          <w:szCs w:val="44"/>
        </w:rPr>
      </w:pPr>
      <w:r>
        <w:rPr>
          <w:rFonts w:hint="eastAsia" w:ascii="方正公文小标宋" w:hAnsi="方正公文小标宋" w:eastAsia="方正公文小标宋" w:cs="方正公文小标宋"/>
          <w:b w:val="0"/>
          <w:bCs w:val="0"/>
          <w:spacing w:val="-32"/>
          <w:sz w:val="44"/>
          <w:szCs w:val="44"/>
        </w:rPr>
        <w:t>关于废止《深圳经济特区城市管理</w:t>
      </w:r>
      <w:r>
        <w:rPr>
          <w:rFonts w:hint="eastAsia" w:ascii="方正公文小标宋" w:hAnsi="方正公文小标宋" w:eastAsia="方正公文小标宋" w:cs="方正公文小标宋"/>
          <w:b w:val="0"/>
          <w:bCs w:val="0"/>
          <w:spacing w:val="-26"/>
          <w:sz w:val="44"/>
          <w:szCs w:val="44"/>
        </w:rPr>
        <w:t>综合</w:t>
      </w:r>
    </w:p>
    <w:p w14:paraId="5B018CCE">
      <w:pPr>
        <w:keepNext w:val="0"/>
        <w:keepLines w:val="0"/>
        <w:pageBreakBefore w:val="0"/>
        <w:widowControl/>
        <w:kinsoku w:val="0"/>
        <w:wordWrap/>
        <w:overflowPunct/>
        <w:topLinePunct w:val="0"/>
        <w:autoSpaceDE w:val="0"/>
        <w:autoSpaceDN w:val="0"/>
        <w:bidi w:val="0"/>
        <w:adjustRightInd w:val="0"/>
        <w:snapToGrid w:val="0"/>
        <w:spacing w:line="660" w:lineRule="exact"/>
        <w:ind w:left="0" w:right="0" w:firstLine="0"/>
        <w:jc w:val="center"/>
        <w:textAlignment w:val="baseline"/>
        <w:outlineLvl w:val="0"/>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26"/>
          <w:sz w:val="44"/>
          <w:szCs w:val="44"/>
        </w:rPr>
        <w:t>执法条</w:t>
      </w:r>
      <w:r>
        <w:rPr>
          <w:rFonts w:hint="eastAsia" w:ascii="方正公文小标宋" w:hAnsi="方正公文小标宋" w:eastAsia="方正公文小标宋" w:cs="方正公文小标宋"/>
          <w:b w:val="0"/>
          <w:bCs w:val="0"/>
          <w:spacing w:val="-26"/>
          <w:sz w:val="44"/>
          <w:szCs w:val="44"/>
          <w:lang w:eastAsia="zh-CN"/>
        </w:rPr>
        <w:t>例</w:t>
      </w:r>
      <w:r>
        <w:rPr>
          <w:rFonts w:hint="eastAsia" w:ascii="方正公文小标宋" w:hAnsi="方正公文小标宋" w:eastAsia="方正公文小标宋" w:cs="方正公文小标宋"/>
          <w:b w:val="0"/>
          <w:bCs w:val="0"/>
          <w:spacing w:val="-26"/>
          <w:sz w:val="44"/>
          <w:szCs w:val="44"/>
        </w:rPr>
        <w:t>》议案的说明</w:t>
      </w:r>
    </w:p>
    <w:p w14:paraId="1B232193">
      <w:pPr>
        <w:spacing w:line="311" w:lineRule="auto"/>
        <w:rPr>
          <w:rFonts w:ascii="Arial"/>
          <w:sz w:val="21"/>
        </w:rPr>
      </w:pPr>
    </w:p>
    <w:p w14:paraId="36C075B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4"/>
          <w:sz w:val="32"/>
          <w:szCs w:val="32"/>
        </w:rPr>
        <w:t>《深圳经济特区城市管理综合执法条例》</w:t>
      </w: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14"/>
          <w:sz w:val="32"/>
          <w:szCs w:val="32"/>
        </w:rPr>
        <w:t>以下简称《条例》</w:t>
      </w:r>
      <w:r>
        <w:rPr>
          <w:rFonts w:hint="eastAsia" w:ascii="仿宋_GB2312" w:hAnsi="仿宋_GB2312" w:eastAsia="仿宋_GB2312" w:cs="仿宋_GB2312"/>
          <w:spacing w:val="-14"/>
          <w:sz w:val="32"/>
          <w:szCs w:val="32"/>
          <w:lang w:eastAsia="zh-CN"/>
        </w:rPr>
        <w:t>）</w:t>
      </w:r>
      <w:r>
        <w:rPr>
          <w:rFonts w:hint="eastAsia" w:ascii="仿宋_GB2312" w:hAnsi="仿宋_GB2312" w:eastAsia="仿宋_GB2312" w:cs="仿宋_GB2312"/>
          <w:spacing w:val="7"/>
          <w:sz w:val="32"/>
          <w:szCs w:val="32"/>
        </w:rPr>
        <w:t>于2013年制定，2019年修正，是本市规范城市管理</w:t>
      </w:r>
      <w:r>
        <w:rPr>
          <w:rFonts w:hint="eastAsia" w:ascii="仿宋_GB2312" w:hAnsi="仿宋_GB2312" w:eastAsia="仿宋_GB2312" w:cs="仿宋_GB2312"/>
          <w:spacing w:val="6"/>
          <w:sz w:val="32"/>
          <w:szCs w:val="32"/>
        </w:rPr>
        <w:t>综合执法活</w:t>
      </w:r>
      <w:r>
        <w:rPr>
          <w:rFonts w:hint="eastAsia" w:ascii="仿宋_GB2312" w:hAnsi="仿宋_GB2312" w:eastAsia="仿宋_GB2312" w:cs="仿宋_GB2312"/>
          <w:spacing w:val="-3"/>
          <w:sz w:val="32"/>
          <w:szCs w:val="32"/>
        </w:rPr>
        <w:t>动的经济特区法规。2019年，中共中央办公厅、国务院办公厅印</w:t>
      </w:r>
      <w:r>
        <w:rPr>
          <w:rFonts w:hint="eastAsia" w:ascii="仿宋_GB2312" w:hAnsi="仿宋_GB2312" w:eastAsia="仿宋_GB2312" w:cs="仿宋_GB2312"/>
          <w:spacing w:val="-9"/>
          <w:sz w:val="32"/>
          <w:szCs w:val="32"/>
        </w:rPr>
        <w:t>发《关于推进基层整合审批服务执法力量的实施意见》</w:t>
      </w: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部署推进</w:t>
      </w:r>
      <w:r>
        <w:rPr>
          <w:rFonts w:hint="eastAsia" w:ascii="仿宋_GB2312" w:hAnsi="仿宋_GB2312" w:eastAsia="仿宋_GB2312" w:cs="仿宋_GB2312"/>
          <w:spacing w:val="-3"/>
          <w:sz w:val="32"/>
          <w:szCs w:val="32"/>
        </w:rPr>
        <w:t>基层综合行政执法改革；2021年修订的《中华人民共和国行政处罚法》</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以下简称《行政处罚法》</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第二十四条，从国家法律层面确立了街道办事处以自身名义开展执法的权限</w:t>
      </w:r>
      <w:r>
        <w:rPr>
          <w:rFonts w:hint="eastAsia" w:ascii="仿宋_GB2312" w:hAnsi="仿宋_GB2312" w:eastAsia="仿宋_GB2312" w:cs="仿宋_GB2312"/>
          <w:spacing w:val="-4"/>
          <w:sz w:val="32"/>
          <w:szCs w:val="32"/>
        </w:rPr>
        <w:t>来源。为落实中央</w:t>
      </w:r>
      <w:r>
        <w:rPr>
          <w:rFonts w:hint="eastAsia" w:ascii="仿宋_GB2312" w:hAnsi="仿宋_GB2312" w:eastAsia="仿宋_GB2312" w:cs="仿宋_GB2312"/>
          <w:spacing w:val="-3"/>
          <w:sz w:val="32"/>
          <w:szCs w:val="32"/>
        </w:rPr>
        <w:t>改革部署及上位法规定，我市于2021年全面启动街道综合行政执</w:t>
      </w:r>
      <w:r>
        <w:rPr>
          <w:rFonts w:hint="eastAsia" w:ascii="仿宋_GB2312" w:hAnsi="仿宋_GB2312" w:eastAsia="仿宋_GB2312" w:cs="仿宋_GB2312"/>
          <w:spacing w:val="6"/>
          <w:sz w:val="32"/>
          <w:szCs w:val="32"/>
        </w:rPr>
        <w:t>法改革。为保障改革推进，《条例》相关条款自2021年9月1日</w:t>
      </w:r>
      <w:r>
        <w:rPr>
          <w:rFonts w:hint="eastAsia" w:ascii="仿宋_GB2312" w:hAnsi="仿宋_GB2312" w:eastAsia="仿宋_GB2312" w:cs="仿宋_GB2312"/>
          <w:spacing w:val="13"/>
          <w:sz w:val="32"/>
          <w:szCs w:val="32"/>
        </w:rPr>
        <w:t>起暂停适用，后延期至2026年8月31日到期。鉴于《条例</w:t>
      </w:r>
      <w:r>
        <w:rPr>
          <w:rFonts w:hint="eastAsia" w:ascii="仿宋_GB2312" w:hAnsi="仿宋_GB2312" w:eastAsia="仿宋_GB2312" w:cs="仿宋_GB2312"/>
          <w:spacing w:val="12"/>
          <w:sz w:val="32"/>
          <w:szCs w:val="32"/>
        </w:rPr>
        <w:t>》核</w:t>
      </w:r>
      <w:r>
        <w:rPr>
          <w:rFonts w:hint="eastAsia" w:ascii="仿宋_GB2312" w:hAnsi="仿宋_GB2312" w:eastAsia="仿宋_GB2312" w:cs="仿宋_GB2312"/>
          <w:spacing w:val="-3"/>
          <w:sz w:val="32"/>
          <w:szCs w:val="32"/>
        </w:rPr>
        <w:t>心内容与现行改革要求、上位法规定不一致，且</w:t>
      </w:r>
      <w:r>
        <w:rPr>
          <w:rFonts w:hint="eastAsia" w:ascii="仿宋_GB2312" w:hAnsi="仿宋_GB2312" w:eastAsia="仿宋_GB2312" w:cs="仿宋_GB2312"/>
          <w:spacing w:val="-4"/>
          <w:sz w:val="32"/>
          <w:szCs w:val="32"/>
        </w:rPr>
        <w:t>综合执法各领域</w:t>
      </w:r>
      <w:r>
        <w:rPr>
          <w:rFonts w:hint="eastAsia" w:ascii="仿宋_GB2312" w:hAnsi="仿宋_GB2312" w:eastAsia="仿宋_GB2312" w:cs="仿宋_GB2312"/>
          <w:spacing w:val="-15"/>
          <w:sz w:val="32"/>
          <w:szCs w:val="32"/>
        </w:rPr>
        <w:t>相关法律法规及政策已有较全面的规范，现拟废止《条例》。有关</w:t>
      </w:r>
      <w:r>
        <w:rPr>
          <w:rFonts w:hint="eastAsia" w:ascii="仿宋_GB2312" w:hAnsi="仿宋_GB2312" w:eastAsia="仿宋_GB2312" w:cs="仿宋_GB2312"/>
          <w:spacing w:val="-13"/>
          <w:sz w:val="32"/>
          <w:szCs w:val="32"/>
        </w:rPr>
        <w:t>情况说明如下：</w:t>
      </w:r>
    </w:p>
    <w:p w14:paraId="47793FFD">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00" w:firstLineChars="200"/>
        <w:jc w:val="both"/>
        <w:textAlignment w:val="baseline"/>
        <w:rPr>
          <w:rFonts w:hint="eastAsia" w:ascii="黑体" w:hAnsi="黑体" w:eastAsia="黑体" w:cs="黑体"/>
          <w:sz w:val="32"/>
          <w:szCs w:val="32"/>
        </w:rPr>
      </w:pPr>
      <w:r>
        <w:rPr>
          <w:rFonts w:hint="eastAsia" w:ascii="黑体" w:hAnsi="黑体" w:eastAsia="黑体" w:cs="黑体"/>
          <w:spacing w:val="-10"/>
          <w:sz w:val="32"/>
          <w:szCs w:val="32"/>
        </w:rPr>
        <w:t>一、废止《条例》的必要性</w:t>
      </w:r>
    </w:p>
    <w:p w14:paraId="73BD2B98">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96" w:firstLineChars="200"/>
        <w:jc w:val="both"/>
        <w:textAlignment w:val="baseline"/>
        <w:rPr>
          <w:rFonts w:hint="eastAsia" w:ascii="楷体" w:hAnsi="楷体" w:eastAsia="楷体" w:cs="楷体"/>
          <w:sz w:val="32"/>
          <w:szCs w:val="32"/>
        </w:rPr>
      </w:pPr>
      <w:r>
        <w:rPr>
          <w:rFonts w:hint="eastAsia" w:ascii="楷体" w:hAnsi="楷体" w:eastAsia="楷体" w:cs="楷体"/>
          <w:spacing w:val="14"/>
          <w:sz w:val="32"/>
          <w:szCs w:val="32"/>
          <w:lang w:eastAsia="zh-CN"/>
        </w:rPr>
        <w:t>（一）</w:t>
      </w:r>
      <w:r>
        <w:rPr>
          <w:rFonts w:hint="eastAsia" w:ascii="楷体" w:hAnsi="楷体" w:eastAsia="楷体" w:cs="楷体"/>
          <w:spacing w:val="14"/>
          <w:sz w:val="32"/>
          <w:szCs w:val="32"/>
        </w:rPr>
        <w:t>废止《条例》是维护国家法治统一、保</w:t>
      </w:r>
      <w:r>
        <w:rPr>
          <w:rFonts w:hint="eastAsia" w:ascii="楷体" w:hAnsi="楷体" w:eastAsia="楷体" w:cs="楷体"/>
          <w:spacing w:val="13"/>
          <w:sz w:val="32"/>
          <w:szCs w:val="32"/>
        </w:rPr>
        <w:t>障街道综合行</w:t>
      </w:r>
      <w:r>
        <w:rPr>
          <w:rFonts w:hint="eastAsia" w:ascii="楷体" w:hAnsi="楷体" w:eastAsia="楷体" w:cs="楷体"/>
          <w:spacing w:val="7"/>
          <w:sz w:val="32"/>
          <w:szCs w:val="32"/>
        </w:rPr>
        <w:t>政执法改革落地的需要</w:t>
      </w:r>
    </w:p>
    <w:p w14:paraId="6452583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8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10"/>
          <w:sz w:val="32"/>
          <w:szCs w:val="32"/>
        </w:rPr>
        <w:t>《条例》多项核心制度与2021年修订后的《行政处罚法》</w:t>
      </w:r>
      <w:r>
        <w:rPr>
          <w:rFonts w:hint="eastAsia" w:ascii="仿宋_GB2312" w:hAnsi="仿宋_GB2312" w:eastAsia="仿宋_GB2312" w:cs="仿宋_GB2312"/>
          <w:spacing w:val="-5"/>
          <w:sz w:val="32"/>
          <w:szCs w:val="32"/>
        </w:rPr>
        <w:t>及中央、省关于街道综合行政执法改革的部署要求不一致。一是</w:t>
      </w:r>
      <w:r>
        <w:rPr>
          <w:rFonts w:hint="eastAsia" w:ascii="仿宋_GB2312" w:hAnsi="仿宋_GB2312" w:eastAsia="仿宋_GB2312" w:cs="仿宋_GB2312"/>
          <w:spacing w:val="-4"/>
          <w:sz w:val="32"/>
          <w:szCs w:val="32"/>
        </w:rPr>
        <w:t>执法主体。《条例》第四条明确“街道执法队以区城市管理行政</w:t>
      </w:r>
      <w:r>
        <w:rPr>
          <w:rFonts w:hint="eastAsia" w:ascii="仿宋_GB2312" w:hAnsi="仿宋_GB2312" w:eastAsia="仿宋_GB2312" w:cs="仿宋_GB2312"/>
          <w:spacing w:val="1"/>
          <w:sz w:val="32"/>
          <w:szCs w:val="32"/>
        </w:rPr>
        <w:t>执法部门名义开展综合执法”</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rPr>
        <w:t>而改革已确立“街道办事处以自</w:t>
      </w:r>
      <w:r>
        <w:rPr>
          <w:rFonts w:hint="eastAsia" w:ascii="仿宋_GB2312" w:hAnsi="仿宋_GB2312" w:eastAsia="仿宋_GB2312" w:cs="仿宋_GB2312"/>
          <w:spacing w:val="-5"/>
          <w:sz w:val="32"/>
          <w:szCs w:val="32"/>
        </w:rPr>
        <w:t>身名义开展执法”制度，继续实行将导致基层执法长期存在“主</w:t>
      </w:r>
      <w:r>
        <w:rPr>
          <w:rFonts w:hint="eastAsia" w:ascii="仿宋_GB2312" w:hAnsi="仿宋_GB2312" w:eastAsia="仿宋_GB2312" w:cs="仿宋_GB2312"/>
          <w:spacing w:val="-15"/>
          <w:sz w:val="32"/>
          <w:szCs w:val="32"/>
        </w:rPr>
        <w:t>体身份不匹配”的问题。二是权限来源重叠。《条例》核心的街</w:t>
      </w:r>
      <w:r>
        <w:rPr>
          <w:rFonts w:hint="eastAsia" w:ascii="仿宋_GB2312" w:hAnsi="仿宋_GB2312" w:eastAsia="仿宋_GB2312" w:cs="仿宋_GB2312"/>
          <w:spacing w:val="-4"/>
          <w:sz w:val="32"/>
          <w:szCs w:val="32"/>
        </w:rPr>
        <w:t>道办事处相对集中城市管理等领域行政处罚权已经被《行政处罚</w:t>
      </w:r>
      <w:r>
        <w:rPr>
          <w:rFonts w:hint="eastAsia" w:ascii="仿宋_GB2312" w:hAnsi="仿宋_GB2312" w:eastAsia="仿宋_GB2312" w:cs="仿宋_GB2312"/>
          <w:spacing w:val="-7"/>
          <w:sz w:val="32"/>
          <w:szCs w:val="32"/>
        </w:rPr>
        <w:t>法》第二十四条吸纳，相关规定已无单独存在必要。</w:t>
      </w:r>
    </w:p>
    <w:p w14:paraId="78818DDB">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60"/>
        <w:jc w:val="both"/>
        <w:textAlignment w:val="baseline"/>
        <w:rPr>
          <w:rFonts w:hint="eastAsia" w:ascii="楷体" w:hAnsi="楷体" w:eastAsia="楷体" w:cs="楷体"/>
          <w:spacing w:val="14"/>
          <w:sz w:val="32"/>
          <w:szCs w:val="32"/>
        </w:rPr>
      </w:pPr>
      <w:r>
        <w:rPr>
          <w:rFonts w:hint="eastAsia" w:ascii="楷体" w:hAnsi="楷体" w:eastAsia="楷体" w:cs="楷体"/>
          <w:spacing w:val="14"/>
          <w:sz w:val="32"/>
          <w:szCs w:val="32"/>
          <w:lang w:eastAsia="zh-CN"/>
        </w:rPr>
        <w:t>（二）</w:t>
      </w:r>
      <w:r>
        <w:rPr>
          <w:rFonts w:hint="eastAsia" w:ascii="楷体" w:hAnsi="楷体" w:eastAsia="楷体" w:cs="楷体"/>
          <w:spacing w:val="14"/>
          <w:sz w:val="32"/>
          <w:szCs w:val="32"/>
        </w:rPr>
        <w:t>《条例》执法体制与我市现行街道综合行政执法实际不一致</w:t>
      </w:r>
    </w:p>
    <w:p w14:paraId="0C15BE3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5"/>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2"/>
          <w:sz w:val="32"/>
          <w:szCs w:val="32"/>
        </w:rPr>
        <w:t>《条例》制定于2013年，其制度设计以区城管和综合执法</w:t>
      </w:r>
      <w:r>
        <w:rPr>
          <w:rFonts w:hint="eastAsia" w:ascii="仿宋_GB2312" w:hAnsi="仿宋_GB2312" w:eastAsia="仿宋_GB2312" w:cs="仿宋_GB2312"/>
          <w:spacing w:val="-14"/>
          <w:sz w:val="32"/>
          <w:szCs w:val="32"/>
        </w:rPr>
        <w:t>部门为执法主体、街道执法队以其名义执法。2021年改革后，执</w:t>
      </w:r>
      <w:r>
        <w:rPr>
          <w:rFonts w:hint="eastAsia" w:ascii="仿宋_GB2312" w:hAnsi="仿宋_GB2312" w:eastAsia="仿宋_GB2312" w:cs="仿宋_GB2312"/>
          <w:spacing w:val="-15"/>
          <w:sz w:val="32"/>
          <w:szCs w:val="32"/>
        </w:rPr>
        <w:t>法主体上，街道办事处以自身名义开展执法；执法范围上，街道</w:t>
      </w:r>
      <w:r>
        <w:rPr>
          <w:rFonts w:hint="eastAsia" w:ascii="仿宋_GB2312" w:hAnsi="仿宋_GB2312" w:eastAsia="仿宋_GB2312" w:cs="仿宋_GB2312"/>
          <w:spacing w:val="-26"/>
          <w:sz w:val="32"/>
          <w:szCs w:val="32"/>
        </w:rPr>
        <w:t>综合行政执法事项已重新进行了调整。改革以来，《条例》长期暂</w:t>
      </w:r>
      <w:r>
        <w:rPr>
          <w:rFonts w:hint="eastAsia" w:ascii="仿宋_GB2312" w:hAnsi="仿宋_GB2312" w:eastAsia="仿宋_GB2312" w:cs="仿宋_GB2312"/>
          <w:spacing w:val="-21"/>
          <w:sz w:val="32"/>
          <w:szCs w:val="32"/>
        </w:rPr>
        <w:t>停使用，其制度设计与执法实践不符。经过近五年改革实践，市、</w:t>
      </w:r>
      <w:r>
        <w:rPr>
          <w:rFonts w:hint="eastAsia" w:ascii="仿宋_GB2312" w:hAnsi="仿宋_GB2312" w:eastAsia="仿宋_GB2312" w:cs="仿宋_GB2312"/>
          <w:spacing w:val="-3"/>
          <w:sz w:val="32"/>
          <w:szCs w:val="32"/>
        </w:rPr>
        <w:t>区相关部门已长期履行对街道综合行政执法队伍的指导监督职</w:t>
      </w:r>
      <w:r>
        <w:rPr>
          <w:rFonts w:hint="eastAsia" w:ascii="仿宋_GB2312" w:hAnsi="仿宋_GB2312" w:eastAsia="仿宋_GB2312" w:cs="仿宋_GB2312"/>
          <w:spacing w:val="-10"/>
          <w:sz w:val="32"/>
          <w:szCs w:val="32"/>
        </w:rPr>
        <w:t>责，基层执法队伍对现行法律法规和政策的适用已有实践基础。</w:t>
      </w:r>
      <w:r>
        <w:rPr>
          <w:rFonts w:hint="eastAsia" w:ascii="仿宋_GB2312" w:hAnsi="仿宋_GB2312" w:eastAsia="仿宋_GB2312" w:cs="仿宋_GB2312"/>
          <w:spacing w:val="-15"/>
          <w:sz w:val="32"/>
          <w:szCs w:val="32"/>
        </w:rPr>
        <w:t>废止《条例》后直接适用各领域上位法及现行政策，更契合我市</w:t>
      </w:r>
      <w:r>
        <w:rPr>
          <w:rFonts w:hint="eastAsia" w:ascii="仿宋_GB2312" w:hAnsi="仿宋_GB2312" w:eastAsia="仿宋_GB2312" w:cs="仿宋_GB2312"/>
          <w:spacing w:val="-17"/>
          <w:sz w:val="32"/>
          <w:szCs w:val="32"/>
        </w:rPr>
        <w:t>街道综合行政执法现状。</w:t>
      </w:r>
    </w:p>
    <w:p w14:paraId="10A2F4F7">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760"/>
        <w:jc w:val="both"/>
        <w:textAlignment w:val="baseline"/>
        <w:rPr>
          <w:rFonts w:hint="eastAsia" w:ascii="楷体" w:hAnsi="楷体" w:eastAsia="楷体" w:cs="楷体"/>
          <w:spacing w:val="14"/>
          <w:sz w:val="32"/>
          <w:szCs w:val="32"/>
        </w:rPr>
      </w:pPr>
      <w:r>
        <w:rPr>
          <w:rFonts w:hint="eastAsia" w:ascii="楷体" w:hAnsi="楷体" w:eastAsia="楷体" w:cs="楷体"/>
          <w:spacing w:val="14"/>
          <w:sz w:val="32"/>
          <w:szCs w:val="32"/>
          <w:lang w:eastAsia="zh-CN"/>
        </w:rPr>
        <w:t>（三）</w:t>
      </w:r>
      <w:r>
        <w:rPr>
          <w:rFonts w:hint="eastAsia" w:ascii="楷体" w:hAnsi="楷体" w:eastAsia="楷体" w:cs="楷体"/>
          <w:spacing w:val="14"/>
          <w:sz w:val="32"/>
          <w:szCs w:val="32"/>
        </w:rPr>
        <w:t>各领域法律法规和现行政策对《条例》现有内容已有较全面的规范</w:t>
      </w:r>
    </w:p>
    <w:p w14:paraId="6400314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3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6"/>
          <w:sz w:val="32"/>
          <w:szCs w:val="32"/>
        </w:rPr>
        <w:t>《条例》共七章五十八条，主要规定综合执法职责范围和管</w:t>
      </w:r>
      <w:r>
        <w:rPr>
          <w:rFonts w:hint="eastAsia" w:ascii="仿宋_GB2312" w:hAnsi="仿宋_GB2312" w:eastAsia="仿宋_GB2312" w:cs="仿宋_GB2312"/>
          <w:spacing w:val="-4"/>
          <w:sz w:val="32"/>
          <w:szCs w:val="32"/>
        </w:rPr>
        <w:t>辖、执法措施和规范、执法保障和配合、执法监督等内容，可按</w:t>
      </w:r>
      <w:r>
        <w:rPr>
          <w:rFonts w:hint="eastAsia" w:ascii="仿宋_GB2312" w:hAnsi="仿宋_GB2312" w:eastAsia="仿宋_GB2312" w:cs="仿宋_GB2312"/>
          <w:spacing w:val="-9"/>
          <w:sz w:val="32"/>
          <w:szCs w:val="32"/>
        </w:rPr>
        <w:t>照现行法律法规执行。执法规范方面，可直接适用《行政处罚法》</w:t>
      </w:r>
      <w:r>
        <w:rPr>
          <w:rFonts w:hint="eastAsia" w:ascii="仿宋_GB2312" w:hAnsi="仿宋_GB2312" w:eastAsia="仿宋_GB2312" w:cs="仿宋_GB2312"/>
          <w:spacing w:val="-4"/>
          <w:sz w:val="32"/>
          <w:szCs w:val="32"/>
        </w:rPr>
        <w:t>《中华人民共和国行政强制法》(以下简称《行政强制</w:t>
      </w:r>
      <w:r>
        <w:rPr>
          <w:rFonts w:hint="eastAsia" w:ascii="仿宋_GB2312" w:hAnsi="仿宋_GB2312" w:eastAsia="仿宋_GB2312" w:cs="仿宋_GB2312"/>
          <w:spacing w:val="-5"/>
          <w:sz w:val="32"/>
          <w:szCs w:val="32"/>
        </w:rPr>
        <w:t>法》)及各</w:t>
      </w:r>
      <w:r>
        <w:rPr>
          <w:rFonts w:hint="eastAsia" w:ascii="仿宋_GB2312" w:hAnsi="仿宋_GB2312" w:eastAsia="仿宋_GB2312" w:cs="仿宋_GB2312"/>
          <w:spacing w:val="2"/>
          <w:sz w:val="32"/>
          <w:szCs w:val="32"/>
        </w:rPr>
        <w:t>领域法律法规规章，如住房和城乡建设部《城市管理执法办法》</w:t>
      </w:r>
      <w:r>
        <w:rPr>
          <w:rFonts w:hint="eastAsia" w:ascii="仿宋_GB2312" w:hAnsi="仿宋_GB2312" w:eastAsia="仿宋_GB2312" w:cs="仿宋_GB2312"/>
          <w:spacing w:val="-4"/>
          <w:sz w:val="32"/>
          <w:szCs w:val="32"/>
        </w:rPr>
        <w:t>《城市管理执法行为规范》等。执法保障和</w:t>
      </w:r>
      <w:r>
        <w:rPr>
          <w:rFonts w:hint="eastAsia" w:ascii="仿宋_GB2312" w:hAnsi="仿宋_GB2312" w:eastAsia="仿宋_GB2312" w:cs="仿宋_GB2312"/>
          <w:spacing w:val="-5"/>
          <w:sz w:val="32"/>
          <w:szCs w:val="32"/>
        </w:rPr>
        <w:t>监督方面，市、区人民政府及相关部门已建立较为完善的指导监督和考核机制。执法</w:t>
      </w:r>
      <w:r>
        <w:rPr>
          <w:rFonts w:hint="eastAsia" w:ascii="仿宋_GB2312" w:hAnsi="仿宋_GB2312" w:eastAsia="仿宋_GB2312" w:cs="仿宋_GB2312"/>
          <w:spacing w:val="-16"/>
          <w:sz w:val="32"/>
          <w:szCs w:val="32"/>
        </w:rPr>
        <w:t>范围、协调分工、培训指导、队伍保障等具体事项，《中共深圳市</w:t>
      </w:r>
      <w:r>
        <w:rPr>
          <w:rFonts w:hint="eastAsia" w:ascii="仿宋_GB2312" w:hAnsi="仿宋_GB2312" w:eastAsia="仿宋_GB2312" w:cs="仿宋_GB2312"/>
          <w:spacing w:val="-3"/>
          <w:sz w:val="32"/>
          <w:szCs w:val="32"/>
        </w:rPr>
        <w:t>委机构编制委员会关于明确市直有关部门街</w:t>
      </w:r>
      <w:r>
        <w:rPr>
          <w:rFonts w:hint="eastAsia" w:ascii="仿宋_GB2312" w:hAnsi="仿宋_GB2312" w:eastAsia="仿宋_GB2312" w:cs="仿宋_GB2312"/>
          <w:spacing w:val="-4"/>
          <w:sz w:val="32"/>
          <w:szCs w:val="32"/>
        </w:rPr>
        <w:t>道综合行政执法职责</w:t>
      </w:r>
      <w:r>
        <w:rPr>
          <w:rFonts w:hint="eastAsia" w:ascii="仿宋_GB2312" w:hAnsi="仿宋_GB2312" w:eastAsia="仿宋_GB2312" w:cs="仿宋_GB2312"/>
          <w:spacing w:val="-3"/>
          <w:sz w:val="32"/>
          <w:szCs w:val="32"/>
        </w:rPr>
        <w:t>分工》</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深编〔2020〕72号</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、《广东省人民政府关</w:t>
      </w:r>
      <w:r>
        <w:rPr>
          <w:rFonts w:hint="eastAsia" w:ascii="仿宋_GB2312" w:hAnsi="仿宋_GB2312" w:eastAsia="仿宋_GB2312" w:cs="仿宋_GB2312"/>
          <w:spacing w:val="-4"/>
          <w:sz w:val="32"/>
          <w:szCs w:val="32"/>
        </w:rPr>
        <w:t>于同意将部分</w:t>
      </w:r>
      <w:r>
        <w:rPr>
          <w:rFonts w:hint="eastAsia" w:ascii="仿宋_GB2312" w:hAnsi="仿宋_GB2312" w:eastAsia="仿宋_GB2312" w:cs="仿宋_GB2312"/>
          <w:spacing w:val="1"/>
          <w:sz w:val="32"/>
          <w:szCs w:val="32"/>
        </w:rPr>
        <w:t>县级政府部门行政处罚权调整由深圳市乡镇</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rPr>
        <w:t>街道</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1"/>
          <w:sz w:val="32"/>
          <w:szCs w:val="32"/>
        </w:rPr>
        <w:t>行使的批复》</w:t>
      </w:r>
      <w:r>
        <w:rPr>
          <w:rFonts w:hint="eastAsia" w:ascii="仿宋_GB2312" w:hAnsi="仿宋_GB2312" w:eastAsia="仿宋_GB2312" w:cs="仿宋_GB2312"/>
          <w:spacing w:val="1"/>
          <w:sz w:val="32"/>
          <w:szCs w:val="32"/>
          <w:lang w:eastAsia="zh-CN"/>
        </w:rPr>
        <w:t>（</w:t>
      </w:r>
      <w:r>
        <w:rPr>
          <w:rFonts w:hint="eastAsia" w:ascii="仿宋_GB2312" w:hAnsi="仿宋_GB2312" w:eastAsia="仿宋_GB2312" w:cs="仿宋_GB2312"/>
          <w:spacing w:val="3"/>
          <w:sz w:val="32"/>
          <w:szCs w:val="32"/>
        </w:rPr>
        <w:t>粤府函〔2025〕263号</w:t>
      </w:r>
      <w:r>
        <w:rPr>
          <w:rFonts w:hint="eastAsia" w:ascii="仿宋_GB2312" w:hAnsi="仿宋_GB2312" w:eastAsia="仿宋_GB2312" w:cs="仿宋_GB2312"/>
          <w:spacing w:val="3"/>
          <w:sz w:val="32"/>
          <w:szCs w:val="32"/>
          <w:lang w:eastAsia="zh-CN"/>
        </w:rPr>
        <w:t>）</w:t>
      </w:r>
      <w:r>
        <w:rPr>
          <w:rFonts w:hint="eastAsia" w:ascii="仿宋_GB2312" w:hAnsi="仿宋_GB2312" w:eastAsia="仿宋_GB2312" w:cs="仿宋_GB2312"/>
          <w:spacing w:val="3"/>
          <w:sz w:val="32"/>
          <w:szCs w:val="32"/>
        </w:rPr>
        <w:t>、《深圳市人民政府关于调</w:t>
      </w:r>
      <w:r>
        <w:rPr>
          <w:rFonts w:hint="eastAsia" w:ascii="仿宋_GB2312" w:hAnsi="仿宋_GB2312" w:eastAsia="仿宋_GB2312" w:cs="仿宋_GB2312"/>
          <w:spacing w:val="2"/>
          <w:sz w:val="32"/>
          <w:szCs w:val="32"/>
        </w:rPr>
        <w:t>整街道综合行政执法事项的公告》</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深府函〔2026〕174号</w:t>
      </w:r>
      <w:r>
        <w:rPr>
          <w:rFonts w:hint="eastAsia" w:ascii="仿宋_GB2312" w:hAnsi="仿宋_GB2312" w:eastAsia="仿宋_GB2312" w:cs="仿宋_GB2312"/>
          <w:spacing w:val="2"/>
          <w:sz w:val="32"/>
          <w:szCs w:val="32"/>
          <w:lang w:eastAsia="zh-CN"/>
        </w:rPr>
        <w:t>）</w:t>
      </w:r>
      <w:r>
        <w:rPr>
          <w:rFonts w:hint="eastAsia" w:ascii="仿宋_GB2312" w:hAnsi="仿宋_GB2312" w:eastAsia="仿宋_GB2312" w:cs="仿宋_GB2312"/>
          <w:spacing w:val="2"/>
          <w:sz w:val="32"/>
          <w:szCs w:val="32"/>
        </w:rPr>
        <w:t>等政策文件已形</w:t>
      </w:r>
      <w:r>
        <w:rPr>
          <w:rFonts w:hint="eastAsia" w:ascii="仿宋_GB2312" w:hAnsi="仿宋_GB2312" w:eastAsia="仿宋_GB2312" w:cs="仿宋_GB2312"/>
          <w:spacing w:val="-10"/>
          <w:sz w:val="32"/>
          <w:szCs w:val="32"/>
        </w:rPr>
        <w:t>成系统的制度体系。</w:t>
      </w:r>
    </w:p>
    <w:p w14:paraId="34FE5DFD">
      <w:pPr>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620" w:firstLineChars="200"/>
        <w:jc w:val="both"/>
        <w:textAlignment w:val="baseline"/>
        <w:rPr>
          <w:rFonts w:hint="eastAsia" w:ascii="黑体" w:hAnsi="黑体" w:eastAsia="黑体" w:cs="黑体"/>
          <w:sz w:val="32"/>
          <w:szCs w:val="32"/>
        </w:rPr>
      </w:pPr>
      <w:r>
        <w:rPr>
          <w:rFonts w:hint="eastAsia" w:ascii="黑体" w:hAnsi="黑体" w:eastAsia="黑体" w:cs="黑体"/>
          <w:spacing w:val="-5"/>
          <w:sz w:val="32"/>
          <w:szCs w:val="32"/>
        </w:rPr>
        <w:t>二、需要说明的问题</w:t>
      </w:r>
    </w:p>
    <w:p w14:paraId="283A3EB1">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96" w:firstLineChars="200"/>
        <w:jc w:val="both"/>
        <w:textAlignment w:val="baseline"/>
        <w:rPr>
          <w:rFonts w:hint="eastAsia" w:ascii="楷体" w:hAnsi="楷体" w:eastAsia="楷体" w:cs="楷体"/>
          <w:spacing w:val="14"/>
          <w:sz w:val="32"/>
          <w:szCs w:val="32"/>
        </w:rPr>
      </w:pPr>
      <w:r>
        <w:rPr>
          <w:rFonts w:hint="eastAsia" w:ascii="楷体" w:hAnsi="楷体" w:eastAsia="楷体" w:cs="楷体"/>
          <w:spacing w:val="14"/>
          <w:sz w:val="32"/>
          <w:szCs w:val="32"/>
          <w:lang w:eastAsia="zh-CN"/>
        </w:rPr>
        <w:t>（一）</w:t>
      </w:r>
      <w:r>
        <w:rPr>
          <w:rFonts w:hint="eastAsia" w:ascii="楷体" w:hAnsi="楷体" w:eastAsia="楷体" w:cs="楷体"/>
          <w:spacing w:val="14"/>
          <w:sz w:val="32"/>
          <w:szCs w:val="32"/>
        </w:rPr>
        <w:t>《条例》废止后的衔接安排</w:t>
      </w:r>
    </w:p>
    <w:p w14:paraId="11D5BB50">
      <w:pPr>
        <w:keepNext w:val="0"/>
        <w:keepLines w:val="0"/>
        <w:pageBreakBefore w:val="0"/>
        <w:widowControl/>
        <w:kinsoku w:val="0"/>
        <w:wordWrap/>
        <w:overflowPunct/>
        <w:topLinePunct w:val="0"/>
        <w:autoSpaceDE w:val="0"/>
        <w:autoSpaceDN w:val="0"/>
        <w:bidi w:val="0"/>
        <w:adjustRightInd w:val="0"/>
        <w:snapToGrid w:val="0"/>
        <w:spacing w:line="560" w:lineRule="exact"/>
        <w:ind w:right="0" w:firstLine="624"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4"/>
          <w:sz w:val="32"/>
          <w:szCs w:val="32"/>
        </w:rPr>
        <w:t>《条例》废止后，街道依照各领域法律法规</w:t>
      </w:r>
      <w:r>
        <w:rPr>
          <w:rFonts w:hint="eastAsia" w:ascii="仿宋_GB2312" w:hAnsi="仿宋_GB2312" w:eastAsia="仿宋_GB2312" w:cs="仿宋_GB2312"/>
          <w:spacing w:val="-5"/>
          <w:sz w:val="32"/>
          <w:szCs w:val="32"/>
        </w:rPr>
        <w:t>规章进行综合执</w:t>
      </w:r>
      <w:r>
        <w:rPr>
          <w:rFonts w:hint="eastAsia" w:ascii="仿宋_GB2312" w:hAnsi="仿宋_GB2312" w:eastAsia="仿宋_GB2312" w:cs="仿宋_GB2312"/>
          <w:spacing w:val="-16"/>
          <w:sz w:val="32"/>
          <w:szCs w:val="32"/>
        </w:rPr>
        <w:t>法，不会产生监管空白。执法主体方面，《行政处罚法》第二十四</w:t>
      </w:r>
      <w:r>
        <w:rPr>
          <w:rFonts w:hint="eastAsia" w:ascii="仿宋_GB2312" w:hAnsi="仿宋_GB2312" w:eastAsia="仿宋_GB2312" w:cs="仿宋_GB2312"/>
          <w:spacing w:val="-4"/>
          <w:sz w:val="32"/>
          <w:szCs w:val="32"/>
        </w:rPr>
        <w:t>条和省政府批复为街道办事处作为独立执法主体提供了明确法律依据，各区人民政府依法发布街道承接的执法事项目录并开展相</w:t>
      </w:r>
      <w:r>
        <w:rPr>
          <w:rFonts w:hint="eastAsia" w:ascii="仿宋_GB2312" w:hAnsi="仿宋_GB2312" w:eastAsia="仿宋_GB2312" w:cs="仿宋_GB2312"/>
          <w:spacing w:val="-16"/>
          <w:sz w:val="32"/>
          <w:szCs w:val="32"/>
        </w:rPr>
        <w:t>关执法保障。执法规范方面，可直接适用《行政处罚法》《行政强制法》及《城市管理执法办法》《城市管理执法行为规</w:t>
      </w:r>
      <w:r>
        <w:rPr>
          <w:rFonts w:hint="eastAsia" w:ascii="仿宋_GB2312" w:hAnsi="仿宋_GB2312" w:eastAsia="仿宋_GB2312" w:cs="仿宋_GB2312"/>
          <w:spacing w:val="-17"/>
          <w:sz w:val="32"/>
          <w:szCs w:val="32"/>
        </w:rPr>
        <w:t>范》等各领</w:t>
      </w:r>
      <w:r>
        <w:rPr>
          <w:rFonts w:hint="eastAsia" w:ascii="仿宋_GB2312" w:hAnsi="仿宋_GB2312" w:eastAsia="仿宋_GB2312" w:cs="仿宋_GB2312"/>
          <w:spacing w:val="-4"/>
          <w:sz w:val="32"/>
          <w:szCs w:val="32"/>
        </w:rPr>
        <w:t>域上位法和部门规章。执法保障和协作方面，市政府系列政策文件对街道综合行政执法的执法范围、协调分工、培训指导、队伍</w:t>
      </w:r>
      <w:r>
        <w:rPr>
          <w:rFonts w:hint="eastAsia" w:ascii="仿宋_GB2312" w:hAnsi="仿宋_GB2312" w:eastAsia="仿宋_GB2312" w:cs="仿宋_GB2312"/>
          <w:spacing w:val="-15"/>
          <w:sz w:val="32"/>
          <w:szCs w:val="32"/>
        </w:rPr>
        <w:t>保障等作出了系统规定。执法监督方面，《行政处罚法》第六章已</w:t>
      </w:r>
      <w:r>
        <w:rPr>
          <w:rFonts w:hint="eastAsia" w:ascii="仿宋_GB2312" w:hAnsi="仿宋_GB2312" w:eastAsia="仿宋_GB2312" w:cs="仿宋_GB2312"/>
          <w:spacing w:val="-5"/>
          <w:sz w:val="32"/>
          <w:szCs w:val="32"/>
        </w:rPr>
        <w:t>建立完善的执法监督制度，市、区相关部门已长期履行对街道综合行政执法队伍的指导监督职责，已做好日常执行管理政策衔接</w:t>
      </w:r>
      <w:r>
        <w:rPr>
          <w:rFonts w:hint="eastAsia" w:ascii="仿宋_GB2312" w:hAnsi="仿宋_GB2312" w:eastAsia="仿宋_GB2312" w:cs="仿宋_GB2312"/>
          <w:spacing w:val="-7"/>
          <w:sz w:val="32"/>
          <w:szCs w:val="32"/>
        </w:rPr>
        <w:t>准备，能够有效保障执法行为的规范性和合法性。</w:t>
      </w:r>
    </w:p>
    <w:p w14:paraId="121E89D9">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96" w:firstLineChars="200"/>
        <w:jc w:val="both"/>
        <w:textAlignment w:val="baseline"/>
        <w:rPr>
          <w:rFonts w:hint="eastAsia" w:ascii="楷体" w:hAnsi="楷体" w:eastAsia="楷体" w:cs="楷体"/>
          <w:spacing w:val="14"/>
          <w:sz w:val="32"/>
          <w:szCs w:val="32"/>
        </w:rPr>
      </w:pPr>
      <w:r>
        <w:rPr>
          <w:rFonts w:hint="eastAsia" w:ascii="楷体" w:hAnsi="楷体" w:eastAsia="楷体" w:cs="楷体"/>
          <w:spacing w:val="14"/>
          <w:sz w:val="32"/>
          <w:szCs w:val="32"/>
          <w:lang w:eastAsia="zh-CN"/>
        </w:rPr>
        <w:t>（二）</w:t>
      </w:r>
      <w:r>
        <w:rPr>
          <w:rFonts w:hint="eastAsia" w:ascii="楷体" w:hAnsi="楷体" w:eastAsia="楷体" w:cs="楷体"/>
          <w:spacing w:val="14"/>
          <w:sz w:val="32"/>
          <w:szCs w:val="32"/>
        </w:rPr>
        <w:t>风险评估和公平竞争审查等情况</w:t>
      </w:r>
    </w:p>
    <w:p w14:paraId="1440F08F">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right="0" w:rightChars="0" w:firstLine="620" w:firstLineChars="200"/>
        <w:jc w:val="both"/>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pacing w:val="-5"/>
          <w:sz w:val="32"/>
          <w:szCs w:val="32"/>
        </w:rPr>
        <w:t>市城管和综合执法局已就废止《条例》后是否会影响我市街</w:t>
      </w:r>
      <w:r>
        <w:rPr>
          <w:rFonts w:hint="eastAsia" w:ascii="仿宋_GB2312" w:hAnsi="仿宋_GB2312" w:eastAsia="仿宋_GB2312" w:cs="仿宋_GB2312"/>
          <w:spacing w:val="-4"/>
          <w:sz w:val="32"/>
          <w:szCs w:val="32"/>
        </w:rPr>
        <w:t>道综合行政执法工作及相关政策如何衔接等问题进行了社会稳定风险评估，评估结论显示相关风险等级为低风险。此外，此次废</w:t>
      </w:r>
      <w:r>
        <w:rPr>
          <w:rFonts w:hint="eastAsia" w:ascii="仿宋_GB2312" w:hAnsi="仿宋_GB2312" w:eastAsia="仿宋_GB2312" w:cs="仿宋_GB2312"/>
          <w:spacing w:val="-9"/>
          <w:sz w:val="32"/>
          <w:szCs w:val="32"/>
        </w:rPr>
        <w:t>止《条例》</w:t>
      </w:r>
      <w:r>
        <w:rPr>
          <w:rFonts w:hint="eastAsia" w:ascii="仿宋_GB2312" w:hAnsi="仿宋_GB2312" w:eastAsia="仿宋_GB2312" w:cs="仿宋_GB2312"/>
          <w:spacing w:val="-9"/>
          <w:sz w:val="32"/>
          <w:szCs w:val="32"/>
          <w:lang w:eastAsia="zh-CN"/>
        </w:rPr>
        <w:t>，</w:t>
      </w:r>
      <w:r>
        <w:rPr>
          <w:rFonts w:hint="eastAsia" w:ascii="仿宋_GB2312" w:hAnsi="仿宋_GB2312" w:eastAsia="仿宋_GB2312" w:cs="仿宋_GB2312"/>
          <w:spacing w:val="-9"/>
          <w:sz w:val="32"/>
          <w:szCs w:val="32"/>
        </w:rPr>
        <w:t>未制定新的政策措施，无需进行公平竞争审</w:t>
      </w:r>
      <w:r>
        <w:rPr>
          <w:rFonts w:hint="eastAsia" w:ascii="仿宋_GB2312" w:hAnsi="仿宋_GB2312" w:eastAsia="仿宋_GB2312" w:cs="仿宋_GB2312"/>
          <w:spacing w:val="-10"/>
          <w:sz w:val="32"/>
          <w:szCs w:val="32"/>
        </w:rPr>
        <w:t>查，与为</w:t>
      </w:r>
      <w:r>
        <w:rPr>
          <w:rFonts w:hint="eastAsia" w:ascii="仿宋_GB2312" w:hAnsi="仿宋_GB2312" w:eastAsia="仿宋_GB2312" w:cs="仿宋_GB2312"/>
          <w:spacing w:val="-11"/>
          <w:sz w:val="32"/>
          <w:szCs w:val="32"/>
        </w:rPr>
        <w:t>基层减负一致性评估各项要求无冲突。废止《条例》在政策导向、</w:t>
      </w:r>
      <w:r>
        <w:rPr>
          <w:rFonts w:hint="eastAsia" w:ascii="仿宋_GB2312" w:hAnsi="仿宋_GB2312" w:eastAsia="仿宋_GB2312" w:cs="仿宋_GB2312"/>
          <w:spacing w:val="-4"/>
          <w:sz w:val="32"/>
          <w:szCs w:val="32"/>
        </w:rPr>
        <w:t>制度设计、实施路径等方面与国家、省、市宏观政策高度一致，</w:t>
      </w:r>
      <w:r>
        <w:rPr>
          <w:rFonts w:hint="eastAsia" w:ascii="仿宋_GB2312" w:hAnsi="仿宋_GB2312" w:eastAsia="仿宋_GB2312" w:cs="仿宋_GB2312"/>
          <w:spacing w:val="-8"/>
          <w:sz w:val="32"/>
          <w:szCs w:val="32"/>
        </w:rPr>
        <w:t>不涉及宏观政策取向一致性评估负面清单。</w:t>
      </w:r>
    </w:p>
    <w:p w14:paraId="25D667A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0" w:right="0" w:firstLine="584" w:firstLineChars="200"/>
        <w:jc w:val="both"/>
        <w:textAlignment w:val="baseline"/>
        <w:rPr>
          <w:rFonts w:ascii="Arial"/>
          <w:sz w:val="32"/>
          <w:szCs w:val="32"/>
        </w:rPr>
      </w:pPr>
      <w:r>
        <w:rPr>
          <w:rFonts w:hint="eastAsia" w:ascii="仿宋_GB2312" w:hAnsi="仿宋_GB2312" w:eastAsia="仿宋_GB2312" w:cs="仿宋_GB2312"/>
          <w:spacing w:val="-14"/>
          <w:sz w:val="32"/>
          <w:szCs w:val="32"/>
        </w:rPr>
        <w:t>以上议案和说明，请审议。</w:t>
      </w:r>
    </w:p>
    <w:sectPr>
      <w:footerReference r:id="rId5" w:type="default"/>
      <w:pgSz w:w="11900" w:h="16840"/>
      <w:pgMar w:top="1431" w:right="1147" w:bottom="1541" w:left="1785" w:header="0" w:footer="1191"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方正公文小标宋">
    <w:altName w:val="宋体"/>
    <w:panose1 w:val="02000500000000000000"/>
    <w:charset w:val="86"/>
    <w:family w:val="auto"/>
    <w:pitch w:val="default"/>
    <w:sig w:usb0="A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E2C9D">
    <w:pPr>
      <w:spacing w:before="1" w:line="232" w:lineRule="auto"/>
      <w:ind w:left="485"/>
      <w:rPr>
        <w:rFonts w:ascii="宋体" w:hAnsi="宋体" w:eastAsia="宋体" w:cs="宋体"/>
        <w:sz w:val="27"/>
        <w:szCs w:val="27"/>
      </w:rPr>
    </w:pPr>
    <w:r>
      <w:rPr>
        <w:sz w:val="27"/>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E5DBD03">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AalSs7WAAAABgEAAA8AAAAAAAAAAQAgAAAAIgAAAGRycy9k&#10;b3ducmV2LnhtbFBLAQIUABQAAAAIAIdO4kCLvjmBPQIAAHkEAAAOAAAAAAAAAAEAIAAAACUBAABk&#10;cnMvZTJvRG9jLnhtbFBLBQYAAAAABgAGAFkBAADUBQAAAAA=&#10;">
              <v:fill on="f" focussize="0,0"/>
              <v:stroke on="f" weight="0.5pt"/>
              <v:imagedata o:title=""/>
              <o:lock v:ext="edit" aspectratio="f"/>
              <v:textbox inset="16pt,0mm,16pt,0mm" style="mso-fit-shape-to-text:t;">
                <w:txbxContent>
                  <w:p w14:paraId="7E5DBD03">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displayBackgroundShape w:val="1"/>
  <w:bordersDoNotSurroundHeader w:val="1"/>
  <w:bordersDoNotSurroundFooter w:val="1"/>
  <w:documentProtection w:enforcement="0"/>
  <w:defaultTabStop w:val="500"/>
  <w:hyphenationZone w:val="360"/>
  <w:displayHorizontalDrawingGridEvery w:val="1"/>
  <w:displayVerticalDrawingGridEvery w:val="1"/>
  <w:characterSpacingControl w:val="doNotCompress"/>
  <w:hdrShapeDefaults>
    <o:shapelayout v:ext="edit">
      <o:idmap v:ext="edit" data="2"/>
    </o:shapelayout>
  </w:hdrShapeDefaults>
  <w:footnotePr>
    <w:footnote w:id="0"/>
    <w:footnote w:id="1"/>
  </w:footnotePr>
  <w:endnotePr>
    <w:endnote w:id="0"/>
    <w:endnote w:id="1"/>
  </w:endnotePr>
  <w:compat>
    <w:spaceForUL/>
    <w:doNotLeaveBackslashAlone/>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0F00792"/>
    <w:rsid w:val="6F5E594C"/>
    <w:rsid w:val="7DB93E70"/>
    <w:rsid w:val="7EBEC5A2"/>
    <w:rsid w:val="7F4F22D2"/>
    <w:rsid w:val="7F599D73"/>
    <w:rsid w:val="BEFE8B68"/>
    <w:rsid w:val="CFB13A56"/>
    <w:rsid w:val="DFDF74D1"/>
    <w:rsid w:val="FEF6B8A9"/>
    <w:rsid w:val="FEFF451C"/>
    <w:rsid w:val="FF7DF2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2"/>
      <w:szCs w:val="32"/>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unhideWhenUsed/>
    <w:qFormat/>
    <w:uiPriority w:val="0"/>
    <w:tblPr>
      <w:tblStyle w:val="5"/>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1866</Words>
  <Characters>1911</Characters>
  <TotalTime>16.6666666666667</TotalTime>
  <ScaleCrop>false</ScaleCrop>
  <LinksUpToDate>false</LinksUpToDate>
  <CharactersWithSpaces>1911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2026-10-11T01:42:00Z</dcterms:created>
  <dc:creator>zhongpeizhu</dc:creator>
  <cp:lastModifiedBy>翟富超</cp:lastModifiedBy>
  <dcterms:modified xsi:type="dcterms:W3CDTF">2026-10-14T03:39:00Z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2026-10-11T01:42:31Z</vt:filetime>
  </property>
  <property fmtid="{D5CDD505-2E9C-101B-9397-08002B2CF9AE}" pid="4" name="UsrData">
    <vt:lpwstr>6ac998044b50f4001fa41522wl</vt:lpwstr>
  </property>
  <property fmtid="{D5CDD505-2E9C-101B-9397-08002B2CF9AE}" pid="5" name="KSOProductBuildVer">
    <vt:lpwstr>2052-12.1.0.28505</vt:lpwstr>
  </property>
  <property fmtid="{D5CDD505-2E9C-101B-9397-08002B2CF9AE}" pid="6" name="ICV">
    <vt:lpwstr>2A0FDFD4727B4D44A1AB93AD36DAECC8_13</vt:lpwstr>
  </property>
</Properties>
</file>