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rPr>
          <w:rFonts w:ascii="黑体" w:hAnsi="Times New Roman" w:eastAsia="黑体"/>
          <w:sz w:val="32"/>
          <w:szCs w:val="32"/>
        </w:rPr>
      </w:pPr>
      <w:r>
        <w:rPr>
          <w:rFonts w:hint="eastAsia" w:ascii="黑体" w:hAnsi="Times New Roman" w:eastAsia="黑体"/>
          <w:sz w:val="32"/>
          <w:szCs w:val="32"/>
        </w:rPr>
        <w:t>附件1</w:t>
      </w:r>
    </w:p>
    <w:p>
      <w:pPr>
        <w:pStyle w:val="7"/>
      </w:pPr>
    </w:p>
    <w:p>
      <w:pPr>
        <w:pStyle w:val="7"/>
        <w:rPr>
          <w:rFonts w:ascii="黑体" w:hAnsi="Times New Roman" w:eastAsia="黑体"/>
          <w:sz w:val="48"/>
          <w:szCs w:val="48"/>
        </w:rPr>
      </w:pPr>
    </w:p>
    <w:p>
      <w:pPr>
        <w:rPr>
          <w:rFonts w:ascii="黑体" w:hAnsi="Times New Roman" w:eastAsia="黑体"/>
          <w:sz w:val="48"/>
          <w:szCs w:val="48"/>
        </w:rPr>
      </w:pPr>
    </w:p>
    <w:p>
      <w:pPr>
        <w:pStyle w:val="14"/>
      </w:pPr>
    </w:p>
    <w:p>
      <w:pPr>
        <w:snapToGrid w:val="0"/>
        <w:spacing w:line="324"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深圳市国民经济和社会发展第十四个五年规划和二〇三五年远景目标纲要</w:t>
      </w:r>
    </w:p>
    <w:p>
      <w:pPr>
        <w:snapToGrid w:val="0"/>
        <w:spacing w:line="324" w:lineRule="auto"/>
        <w:jc w:val="center"/>
        <w:rPr>
          <w:rFonts w:ascii="楷体_GB2312" w:hAnsi="Times New Roman" w:eastAsia="楷体_GB2312"/>
          <w:sz w:val="32"/>
          <w:szCs w:val="32"/>
        </w:rPr>
      </w:pPr>
    </w:p>
    <w:p>
      <w:pPr>
        <w:pStyle w:val="2"/>
      </w:pPr>
    </w:p>
    <w:p>
      <w:pPr>
        <w:snapToGrid w:val="0"/>
        <w:spacing w:line="324" w:lineRule="auto"/>
        <w:jc w:val="center"/>
        <w:rPr>
          <w:rFonts w:ascii="仿宋_GB2312" w:hAnsi="Times New Roman" w:eastAsia="仿宋_GB2312"/>
          <w:sz w:val="44"/>
          <w:szCs w:val="44"/>
        </w:rPr>
      </w:pPr>
    </w:p>
    <w:p>
      <w:pPr>
        <w:snapToGrid w:val="0"/>
        <w:spacing w:line="324" w:lineRule="auto"/>
        <w:jc w:val="center"/>
        <w:rPr>
          <w:rFonts w:ascii="黑体" w:hAnsi="Times New Roman" w:eastAsia="黑体"/>
          <w:sz w:val="32"/>
          <w:szCs w:val="32"/>
        </w:rPr>
      </w:pPr>
    </w:p>
    <w:p>
      <w:pPr>
        <w:snapToGrid w:val="0"/>
        <w:spacing w:line="324" w:lineRule="auto"/>
        <w:jc w:val="center"/>
        <w:rPr>
          <w:rFonts w:ascii="黑体" w:hAnsi="Times New Roman" w:eastAsia="黑体"/>
          <w:sz w:val="32"/>
          <w:szCs w:val="32"/>
        </w:rPr>
      </w:pPr>
    </w:p>
    <w:p>
      <w:pPr>
        <w:snapToGrid w:val="0"/>
        <w:spacing w:line="324" w:lineRule="auto"/>
        <w:jc w:val="center"/>
        <w:rPr>
          <w:rFonts w:ascii="黑体" w:hAnsi="Times New Roman" w:eastAsia="黑体"/>
          <w:sz w:val="32"/>
          <w:szCs w:val="32"/>
        </w:rPr>
      </w:pPr>
    </w:p>
    <w:p>
      <w:pPr>
        <w:snapToGrid w:val="0"/>
        <w:spacing w:line="324" w:lineRule="auto"/>
        <w:jc w:val="center"/>
        <w:rPr>
          <w:rFonts w:ascii="黑体" w:hAnsi="Times New Roman" w:eastAsia="黑体"/>
          <w:sz w:val="32"/>
          <w:szCs w:val="32"/>
        </w:rPr>
      </w:pPr>
    </w:p>
    <w:p>
      <w:pPr>
        <w:snapToGrid w:val="0"/>
        <w:spacing w:line="324" w:lineRule="auto"/>
        <w:jc w:val="center"/>
        <w:rPr>
          <w:rFonts w:ascii="黑体" w:hAnsi="Times New Roman" w:eastAsia="黑体"/>
          <w:sz w:val="32"/>
          <w:szCs w:val="32"/>
        </w:rPr>
      </w:pPr>
    </w:p>
    <w:p>
      <w:pPr>
        <w:snapToGrid w:val="0"/>
        <w:spacing w:line="324" w:lineRule="auto"/>
        <w:jc w:val="center"/>
        <w:rPr>
          <w:rFonts w:ascii="黑体" w:hAnsi="Times New Roman" w:eastAsia="黑体"/>
          <w:sz w:val="32"/>
          <w:szCs w:val="32"/>
        </w:rPr>
      </w:pPr>
    </w:p>
    <w:p>
      <w:pPr>
        <w:pStyle w:val="2"/>
        <w:rPr>
          <w:rFonts w:ascii="黑体" w:hAnsi="Times New Roman" w:eastAsia="黑体"/>
          <w:sz w:val="32"/>
          <w:szCs w:val="32"/>
        </w:rPr>
      </w:pPr>
    </w:p>
    <w:p/>
    <w:p>
      <w:pPr>
        <w:snapToGrid w:val="0"/>
        <w:spacing w:line="324" w:lineRule="auto"/>
        <w:jc w:val="center"/>
        <w:rPr>
          <w:rFonts w:ascii="黑体" w:hAnsi="Times New Roman" w:eastAsia="黑体"/>
          <w:sz w:val="32"/>
          <w:szCs w:val="32"/>
        </w:rPr>
      </w:pPr>
    </w:p>
    <w:p>
      <w:pPr>
        <w:jc w:val="center"/>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深圳市人民政府</w:t>
      </w:r>
    </w:p>
    <w:p>
      <w:pPr>
        <w:jc w:val="center"/>
        <w:rPr>
          <w:rFonts w:ascii="黑体" w:eastAsia="黑体"/>
          <w:color w:val="000000"/>
          <w:sz w:val="32"/>
          <w:szCs w:val="32"/>
        </w:rPr>
      </w:pPr>
    </w:p>
    <w:p>
      <w:pPr>
        <w:jc w:val="center"/>
        <w:rPr>
          <w:rFonts w:ascii="黑体" w:eastAsia="黑体"/>
          <w:color w:val="000000"/>
          <w:sz w:val="32"/>
          <w:szCs w:val="32"/>
        </w:rPr>
      </w:pPr>
    </w:p>
    <w:p>
      <w:pPr>
        <w:jc w:val="center"/>
        <w:rPr>
          <w:rFonts w:ascii="黑体" w:eastAsia="黑体"/>
          <w:color w:val="000000"/>
          <w:sz w:val="32"/>
          <w:szCs w:val="32"/>
        </w:rPr>
      </w:pPr>
    </w:p>
    <w:p>
      <w:pPr>
        <w:jc w:val="center"/>
        <w:rPr>
          <w:rFonts w:ascii="黑体" w:eastAsia="黑体"/>
          <w:color w:val="000000"/>
          <w:sz w:val="32"/>
          <w:szCs w:val="32"/>
        </w:rPr>
        <w:sectPr>
          <w:headerReference r:id="rId3" w:type="default"/>
          <w:pgSz w:w="11906" w:h="16838"/>
          <w:pgMar w:top="1440" w:right="1800" w:bottom="1440" w:left="1800" w:header="851" w:footer="992" w:gutter="0"/>
          <w:pgNumType w:start="1"/>
          <w:cols w:space="425" w:num="1"/>
          <w:docGrid w:type="lines" w:linePitch="312" w:charSpace="0"/>
        </w:sectPr>
      </w:pPr>
    </w:p>
    <w:p>
      <w:pPr>
        <w:spacing w:line="600" w:lineRule="exact"/>
        <w:jc w:val="center"/>
        <w:outlineLvl w:val="0"/>
        <w:rPr>
          <w:rFonts w:ascii="黑体" w:hAnsi="黑体" w:eastAsia="黑体" w:cs="黑体"/>
          <w:sz w:val="40"/>
          <w:szCs w:val="40"/>
        </w:rPr>
      </w:pPr>
      <w:bookmarkStart w:id="0" w:name="_Toc25869"/>
      <w:bookmarkStart w:id="1" w:name="_Toc18734"/>
      <w:bookmarkStart w:id="2" w:name="_Toc27592"/>
      <w:bookmarkStart w:id="3" w:name="_Toc11458"/>
      <w:bookmarkStart w:id="4" w:name="_Toc8618"/>
      <w:bookmarkStart w:id="5" w:name="_Toc9387"/>
      <w:bookmarkStart w:id="6" w:name="_Toc11907"/>
      <w:bookmarkStart w:id="7" w:name="_Toc27495"/>
      <w:bookmarkStart w:id="8" w:name="_Toc20374"/>
      <w:bookmarkStart w:id="9" w:name="_Toc30712"/>
      <w:bookmarkStart w:id="10" w:name="_Toc16393"/>
      <w:bookmarkStart w:id="11" w:name="_Toc18960"/>
      <w:r>
        <w:rPr>
          <w:rFonts w:ascii="黑体" w:hAnsi="黑体" w:eastAsia="黑体" w:cs="黑体"/>
          <w:sz w:val="40"/>
          <w:szCs w:val="40"/>
        </w:rPr>
        <w:t>目</w:t>
      </w:r>
      <w:r>
        <w:rPr>
          <w:rFonts w:hint="eastAsia" w:ascii="黑体" w:hAnsi="黑体" w:eastAsia="黑体" w:cs="黑体"/>
          <w:sz w:val="40"/>
          <w:szCs w:val="40"/>
        </w:rPr>
        <w:t xml:space="preserve">  </w:t>
      </w:r>
      <w:r>
        <w:rPr>
          <w:rFonts w:ascii="黑体" w:hAnsi="黑体" w:eastAsia="黑体" w:cs="黑体"/>
          <w:sz w:val="40"/>
          <w:szCs w:val="40"/>
        </w:rPr>
        <w:t>录</w:t>
      </w:r>
      <w:bookmarkEnd w:id="0"/>
      <w:bookmarkEnd w:id="1"/>
      <w:bookmarkEnd w:id="2"/>
      <w:bookmarkEnd w:id="3"/>
      <w:bookmarkEnd w:id="4"/>
      <w:bookmarkEnd w:id="5"/>
      <w:bookmarkEnd w:id="6"/>
      <w:bookmarkEnd w:id="7"/>
      <w:bookmarkEnd w:id="8"/>
      <w:bookmarkEnd w:id="9"/>
      <w:bookmarkEnd w:id="10"/>
      <w:bookmarkEnd w:id="11"/>
    </w:p>
    <w:p>
      <w:pPr>
        <w:jc w:val="left"/>
      </w:pPr>
    </w:p>
    <w:p>
      <w:pPr>
        <w:pStyle w:val="19"/>
        <w:tabs>
          <w:tab w:val="right" w:leader="dot" w:pos="8306"/>
        </w:tabs>
        <w:spacing w:line="480" w:lineRule="exact"/>
        <w:rPr>
          <w:sz w:val="24"/>
        </w:rPr>
      </w:pPr>
      <w:r>
        <w:rPr>
          <w:rFonts w:ascii="黑体" w:eastAsia="黑体"/>
          <w:color w:val="000000"/>
          <w:sz w:val="24"/>
        </w:rPr>
        <w:fldChar w:fldCharType="begin"/>
      </w:r>
      <w:r>
        <w:rPr>
          <w:rFonts w:ascii="黑体" w:eastAsia="黑体"/>
          <w:color w:val="000000"/>
          <w:sz w:val="24"/>
        </w:rPr>
        <w:instrText xml:space="preserve">TOC \o "1-3" \h \u </w:instrText>
      </w:r>
      <w:r>
        <w:rPr>
          <w:rFonts w:ascii="黑体" w:eastAsia="黑体"/>
          <w:color w:val="000000"/>
          <w:sz w:val="24"/>
        </w:rPr>
        <w:fldChar w:fldCharType="separate"/>
      </w:r>
      <w:r>
        <w:fldChar w:fldCharType="begin"/>
      </w:r>
      <w:r>
        <w:instrText xml:space="preserve"> HYPERLINK \l "_Toc22591" </w:instrText>
      </w:r>
      <w:r>
        <w:fldChar w:fldCharType="separate"/>
      </w:r>
      <w:r>
        <w:rPr>
          <w:rFonts w:hint="eastAsia" w:ascii="黑体" w:hAnsi="黑体" w:eastAsia="黑体" w:cs="黑体"/>
          <w:sz w:val="24"/>
        </w:rPr>
        <w:t>前  言</w:t>
      </w:r>
      <w:r>
        <w:rPr>
          <w:sz w:val="24"/>
        </w:rPr>
        <w:tab/>
      </w:r>
      <w:r>
        <w:rPr>
          <w:sz w:val="24"/>
        </w:rPr>
        <w:fldChar w:fldCharType="begin"/>
      </w:r>
      <w:r>
        <w:rPr>
          <w:sz w:val="24"/>
        </w:rPr>
        <w:instrText xml:space="preserve"> PAGEREF _Toc22591 </w:instrText>
      </w:r>
      <w:r>
        <w:rPr>
          <w:sz w:val="24"/>
        </w:rPr>
        <w:fldChar w:fldCharType="separate"/>
      </w:r>
      <w:r>
        <w:rPr>
          <w:sz w:val="24"/>
        </w:rPr>
        <w:t>1</w:t>
      </w:r>
      <w:r>
        <w:rPr>
          <w:sz w:val="24"/>
        </w:rPr>
        <w:fldChar w:fldCharType="end"/>
      </w:r>
      <w:r>
        <w:rPr>
          <w:sz w:val="24"/>
        </w:rPr>
        <w:fldChar w:fldCharType="end"/>
      </w:r>
    </w:p>
    <w:p>
      <w:pPr>
        <w:pStyle w:val="19"/>
        <w:tabs>
          <w:tab w:val="right" w:leader="dot" w:pos="8306"/>
        </w:tabs>
        <w:spacing w:line="480" w:lineRule="exact"/>
        <w:rPr>
          <w:sz w:val="24"/>
        </w:rPr>
      </w:pPr>
      <w:r>
        <w:fldChar w:fldCharType="begin"/>
      </w:r>
      <w:r>
        <w:instrText xml:space="preserve"> HYPERLINK \l "_Toc15180" </w:instrText>
      </w:r>
      <w:r>
        <w:fldChar w:fldCharType="separate"/>
      </w:r>
      <w:r>
        <w:rPr>
          <w:rFonts w:hint="eastAsia" w:ascii="黑体" w:hAnsi="黑体" w:eastAsia="黑体" w:cs="黑体"/>
          <w:sz w:val="24"/>
        </w:rPr>
        <w:t>第一篇 开启中国特色社会主义先行示范区建设新征程</w:t>
      </w:r>
      <w:r>
        <w:rPr>
          <w:sz w:val="24"/>
        </w:rPr>
        <w:tab/>
      </w:r>
      <w:r>
        <w:rPr>
          <w:sz w:val="24"/>
        </w:rPr>
        <w:fldChar w:fldCharType="begin"/>
      </w:r>
      <w:r>
        <w:rPr>
          <w:sz w:val="24"/>
        </w:rPr>
        <w:instrText xml:space="preserve"> PAGEREF _Toc15180 </w:instrText>
      </w:r>
      <w:r>
        <w:rPr>
          <w:sz w:val="24"/>
        </w:rPr>
        <w:fldChar w:fldCharType="separate"/>
      </w:r>
      <w:r>
        <w:rPr>
          <w:sz w:val="24"/>
        </w:rPr>
        <w:t>2</w:t>
      </w:r>
      <w:r>
        <w:rPr>
          <w:sz w:val="24"/>
        </w:rPr>
        <w:fldChar w:fldCharType="end"/>
      </w:r>
      <w:r>
        <w:rPr>
          <w:sz w:val="24"/>
        </w:rPr>
        <w:fldChar w:fldCharType="end"/>
      </w:r>
    </w:p>
    <w:p>
      <w:pPr>
        <w:pStyle w:val="23"/>
        <w:tabs>
          <w:tab w:val="right" w:leader="dot" w:pos="8306"/>
        </w:tabs>
        <w:spacing w:line="480" w:lineRule="exact"/>
        <w:rPr>
          <w:sz w:val="24"/>
        </w:rPr>
      </w:pPr>
      <w:r>
        <w:fldChar w:fldCharType="begin"/>
      </w:r>
      <w:r>
        <w:instrText xml:space="preserve"> HYPERLINK \l "_Toc9209" </w:instrText>
      </w:r>
      <w:r>
        <w:fldChar w:fldCharType="separate"/>
      </w:r>
      <w:r>
        <w:rPr>
          <w:rFonts w:hint="eastAsia" w:ascii="黑体" w:hAnsi="黑体" w:eastAsia="黑体" w:cs="黑体"/>
          <w:sz w:val="24"/>
        </w:rPr>
        <w:t>第一章 发展基础</w:t>
      </w:r>
      <w:r>
        <w:rPr>
          <w:sz w:val="24"/>
        </w:rPr>
        <w:tab/>
      </w:r>
      <w:r>
        <w:rPr>
          <w:sz w:val="24"/>
        </w:rPr>
        <w:fldChar w:fldCharType="begin"/>
      </w:r>
      <w:r>
        <w:rPr>
          <w:sz w:val="24"/>
        </w:rPr>
        <w:instrText xml:space="preserve"> PAGEREF _Toc9209 </w:instrText>
      </w:r>
      <w:r>
        <w:rPr>
          <w:sz w:val="24"/>
        </w:rPr>
        <w:fldChar w:fldCharType="separate"/>
      </w:r>
      <w:r>
        <w:rPr>
          <w:sz w:val="24"/>
        </w:rPr>
        <w:t>2</w:t>
      </w:r>
      <w:r>
        <w:rPr>
          <w:sz w:val="24"/>
        </w:rPr>
        <w:fldChar w:fldCharType="end"/>
      </w:r>
      <w:r>
        <w:rPr>
          <w:sz w:val="24"/>
        </w:rPr>
        <w:fldChar w:fldCharType="end"/>
      </w:r>
    </w:p>
    <w:p>
      <w:pPr>
        <w:pStyle w:val="13"/>
        <w:tabs>
          <w:tab w:val="right" w:leader="dot" w:pos="8306"/>
        </w:tabs>
        <w:spacing w:line="480" w:lineRule="exact"/>
        <w:rPr>
          <w:sz w:val="24"/>
        </w:rPr>
      </w:pPr>
      <w:r>
        <w:fldChar w:fldCharType="begin"/>
      </w:r>
      <w:r>
        <w:instrText xml:space="preserve"> HYPERLINK \l "_Toc21220" </w:instrText>
      </w:r>
      <w:r>
        <w:fldChar w:fldCharType="separate"/>
      </w:r>
      <w:r>
        <w:rPr>
          <w:rFonts w:hint="eastAsia" w:ascii="楷体" w:hAnsi="楷体" w:eastAsia="楷体" w:cs="楷体"/>
          <w:bCs/>
          <w:sz w:val="24"/>
        </w:rPr>
        <w:t>第一节 深圳经济特区40年辉煌成就</w:t>
      </w:r>
      <w:r>
        <w:rPr>
          <w:sz w:val="24"/>
        </w:rPr>
        <w:tab/>
      </w:r>
      <w:r>
        <w:rPr>
          <w:sz w:val="24"/>
        </w:rPr>
        <w:fldChar w:fldCharType="begin"/>
      </w:r>
      <w:r>
        <w:rPr>
          <w:sz w:val="24"/>
        </w:rPr>
        <w:instrText xml:space="preserve"> PAGEREF _Toc21220 </w:instrText>
      </w:r>
      <w:r>
        <w:rPr>
          <w:sz w:val="24"/>
        </w:rPr>
        <w:fldChar w:fldCharType="separate"/>
      </w:r>
      <w:r>
        <w:rPr>
          <w:sz w:val="24"/>
        </w:rPr>
        <w:t>2</w:t>
      </w:r>
      <w:r>
        <w:rPr>
          <w:sz w:val="24"/>
        </w:rPr>
        <w:fldChar w:fldCharType="end"/>
      </w:r>
      <w:r>
        <w:rPr>
          <w:sz w:val="24"/>
        </w:rPr>
        <w:fldChar w:fldCharType="end"/>
      </w:r>
    </w:p>
    <w:p>
      <w:pPr>
        <w:pStyle w:val="13"/>
        <w:tabs>
          <w:tab w:val="right" w:leader="dot" w:pos="8306"/>
        </w:tabs>
        <w:spacing w:line="480" w:lineRule="exact"/>
        <w:rPr>
          <w:sz w:val="24"/>
        </w:rPr>
      </w:pPr>
      <w:r>
        <w:fldChar w:fldCharType="begin"/>
      </w:r>
      <w:r>
        <w:instrText xml:space="preserve"> HYPERLINK \l "_Toc28671" </w:instrText>
      </w:r>
      <w:r>
        <w:fldChar w:fldCharType="separate"/>
      </w:r>
      <w:r>
        <w:rPr>
          <w:rFonts w:hint="eastAsia" w:ascii="楷体" w:hAnsi="楷体" w:eastAsia="楷体" w:cs="楷体"/>
          <w:bCs/>
          <w:sz w:val="24"/>
        </w:rPr>
        <w:t>第二节 “十三五”发展成就</w:t>
      </w:r>
      <w:r>
        <w:rPr>
          <w:sz w:val="24"/>
        </w:rPr>
        <w:tab/>
      </w:r>
      <w:r>
        <w:rPr>
          <w:sz w:val="24"/>
        </w:rPr>
        <w:fldChar w:fldCharType="begin"/>
      </w:r>
      <w:r>
        <w:rPr>
          <w:sz w:val="24"/>
        </w:rPr>
        <w:instrText xml:space="preserve"> PAGEREF _Toc28671 </w:instrText>
      </w:r>
      <w:r>
        <w:rPr>
          <w:sz w:val="24"/>
        </w:rPr>
        <w:fldChar w:fldCharType="separate"/>
      </w:r>
      <w:r>
        <w:rPr>
          <w:sz w:val="24"/>
        </w:rPr>
        <w:t>4</w:t>
      </w:r>
      <w:r>
        <w:rPr>
          <w:sz w:val="24"/>
        </w:rPr>
        <w:fldChar w:fldCharType="end"/>
      </w:r>
      <w:r>
        <w:rPr>
          <w:sz w:val="24"/>
        </w:rPr>
        <w:fldChar w:fldCharType="end"/>
      </w:r>
    </w:p>
    <w:p>
      <w:pPr>
        <w:pStyle w:val="13"/>
        <w:tabs>
          <w:tab w:val="right" w:leader="dot" w:pos="8306"/>
        </w:tabs>
        <w:spacing w:line="480" w:lineRule="exact"/>
        <w:rPr>
          <w:sz w:val="24"/>
        </w:rPr>
      </w:pPr>
      <w:r>
        <w:fldChar w:fldCharType="begin"/>
      </w:r>
      <w:r>
        <w:instrText xml:space="preserve"> HYPERLINK \l "_Toc17153" </w:instrText>
      </w:r>
      <w:r>
        <w:fldChar w:fldCharType="separate"/>
      </w:r>
      <w:r>
        <w:rPr>
          <w:rFonts w:hint="eastAsia" w:ascii="楷体" w:hAnsi="楷体" w:eastAsia="楷体" w:cs="楷体"/>
          <w:bCs/>
          <w:sz w:val="24"/>
        </w:rPr>
        <w:t>第三节 “十四五”发展环境</w:t>
      </w:r>
      <w:r>
        <w:rPr>
          <w:sz w:val="24"/>
        </w:rPr>
        <w:tab/>
      </w:r>
      <w:r>
        <w:rPr>
          <w:sz w:val="24"/>
        </w:rPr>
        <w:fldChar w:fldCharType="begin"/>
      </w:r>
      <w:r>
        <w:rPr>
          <w:sz w:val="24"/>
        </w:rPr>
        <w:instrText xml:space="preserve"> PAGEREF _Toc17153 </w:instrText>
      </w:r>
      <w:r>
        <w:rPr>
          <w:sz w:val="24"/>
        </w:rPr>
        <w:fldChar w:fldCharType="separate"/>
      </w:r>
      <w:r>
        <w:rPr>
          <w:sz w:val="24"/>
        </w:rPr>
        <w:t>7</w:t>
      </w:r>
      <w:r>
        <w:rPr>
          <w:sz w:val="24"/>
        </w:rPr>
        <w:fldChar w:fldCharType="end"/>
      </w:r>
      <w:r>
        <w:rPr>
          <w:sz w:val="24"/>
        </w:rPr>
        <w:fldChar w:fldCharType="end"/>
      </w:r>
    </w:p>
    <w:p>
      <w:pPr>
        <w:pStyle w:val="13"/>
        <w:tabs>
          <w:tab w:val="right" w:leader="dot" w:pos="8306"/>
        </w:tabs>
        <w:spacing w:line="480" w:lineRule="exact"/>
        <w:rPr>
          <w:sz w:val="24"/>
        </w:rPr>
      </w:pPr>
      <w:r>
        <w:fldChar w:fldCharType="begin"/>
      </w:r>
      <w:r>
        <w:instrText xml:space="preserve"> HYPERLINK \l "_Toc15170" </w:instrText>
      </w:r>
      <w:r>
        <w:fldChar w:fldCharType="separate"/>
      </w:r>
      <w:r>
        <w:rPr>
          <w:rFonts w:hint="eastAsia" w:ascii="楷体" w:hAnsi="楷体" w:eastAsia="楷体" w:cs="楷体"/>
          <w:bCs/>
          <w:sz w:val="24"/>
        </w:rPr>
        <w:t>第四节 发展机遇与面临挑战</w:t>
      </w:r>
      <w:r>
        <w:rPr>
          <w:sz w:val="24"/>
        </w:rPr>
        <w:tab/>
      </w:r>
      <w:r>
        <w:rPr>
          <w:sz w:val="24"/>
        </w:rPr>
        <w:fldChar w:fldCharType="begin"/>
      </w:r>
      <w:r>
        <w:rPr>
          <w:sz w:val="24"/>
        </w:rPr>
        <w:instrText xml:space="preserve"> PAGEREF _Toc15170 </w:instrText>
      </w:r>
      <w:r>
        <w:rPr>
          <w:sz w:val="24"/>
        </w:rPr>
        <w:fldChar w:fldCharType="separate"/>
      </w:r>
      <w:r>
        <w:rPr>
          <w:sz w:val="24"/>
        </w:rPr>
        <w:t>7</w:t>
      </w:r>
      <w:r>
        <w:rPr>
          <w:sz w:val="24"/>
        </w:rPr>
        <w:fldChar w:fldCharType="end"/>
      </w:r>
      <w:r>
        <w:rPr>
          <w:sz w:val="24"/>
        </w:rPr>
        <w:fldChar w:fldCharType="end"/>
      </w:r>
    </w:p>
    <w:p>
      <w:pPr>
        <w:pStyle w:val="23"/>
        <w:tabs>
          <w:tab w:val="right" w:leader="dot" w:pos="8306"/>
        </w:tabs>
        <w:spacing w:line="480" w:lineRule="exact"/>
        <w:rPr>
          <w:sz w:val="24"/>
        </w:rPr>
      </w:pPr>
      <w:r>
        <w:fldChar w:fldCharType="begin"/>
      </w:r>
      <w:r>
        <w:instrText xml:space="preserve"> HYPERLINK \l "_Toc32709" </w:instrText>
      </w:r>
      <w:r>
        <w:fldChar w:fldCharType="separate"/>
      </w:r>
      <w:r>
        <w:rPr>
          <w:rFonts w:hint="eastAsia" w:ascii="黑体" w:hAnsi="黑体" w:eastAsia="黑体" w:cs="黑体"/>
          <w:sz w:val="24"/>
        </w:rPr>
        <w:t>第二章 指导方针</w:t>
      </w:r>
      <w:r>
        <w:rPr>
          <w:sz w:val="24"/>
        </w:rPr>
        <w:tab/>
      </w:r>
      <w:r>
        <w:rPr>
          <w:sz w:val="24"/>
        </w:rPr>
        <w:fldChar w:fldCharType="begin"/>
      </w:r>
      <w:r>
        <w:rPr>
          <w:sz w:val="24"/>
        </w:rPr>
        <w:instrText xml:space="preserve"> PAGEREF _Toc32709 </w:instrText>
      </w:r>
      <w:r>
        <w:rPr>
          <w:sz w:val="24"/>
        </w:rPr>
        <w:fldChar w:fldCharType="separate"/>
      </w:r>
      <w:r>
        <w:rPr>
          <w:sz w:val="24"/>
        </w:rPr>
        <w:t>9</w:t>
      </w:r>
      <w:r>
        <w:rPr>
          <w:sz w:val="24"/>
        </w:rPr>
        <w:fldChar w:fldCharType="end"/>
      </w:r>
      <w:r>
        <w:rPr>
          <w:sz w:val="24"/>
        </w:rPr>
        <w:fldChar w:fldCharType="end"/>
      </w:r>
    </w:p>
    <w:p>
      <w:pPr>
        <w:pStyle w:val="13"/>
        <w:tabs>
          <w:tab w:val="right" w:leader="dot" w:pos="8306"/>
        </w:tabs>
        <w:spacing w:line="480" w:lineRule="exact"/>
        <w:rPr>
          <w:sz w:val="24"/>
        </w:rPr>
      </w:pPr>
      <w:r>
        <w:fldChar w:fldCharType="begin"/>
      </w:r>
      <w:r>
        <w:instrText xml:space="preserve"> HYPERLINK \l "_Toc22361" </w:instrText>
      </w:r>
      <w:r>
        <w:fldChar w:fldCharType="separate"/>
      </w:r>
      <w:r>
        <w:rPr>
          <w:rFonts w:hint="eastAsia" w:ascii="楷体" w:hAnsi="楷体" w:eastAsia="楷体" w:cs="楷体"/>
          <w:bCs/>
          <w:sz w:val="24"/>
        </w:rPr>
        <w:t>第一节 指导思想</w:t>
      </w:r>
      <w:r>
        <w:rPr>
          <w:sz w:val="24"/>
        </w:rPr>
        <w:tab/>
      </w:r>
      <w:r>
        <w:rPr>
          <w:sz w:val="24"/>
        </w:rPr>
        <w:fldChar w:fldCharType="begin"/>
      </w:r>
      <w:r>
        <w:rPr>
          <w:sz w:val="24"/>
        </w:rPr>
        <w:instrText xml:space="preserve"> PAGEREF _Toc22361 </w:instrText>
      </w:r>
      <w:r>
        <w:rPr>
          <w:sz w:val="24"/>
        </w:rPr>
        <w:fldChar w:fldCharType="separate"/>
      </w:r>
      <w:r>
        <w:rPr>
          <w:sz w:val="24"/>
        </w:rPr>
        <w:t>9</w:t>
      </w:r>
      <w:r>
        <w:rPr>
          <w:sz w:val="24"/>
        </w:rPr>
        <w:fldChar w:fldCharType="end"/>
      </w:r>
      <w:r>
        <w:rPr>
          <w:sz w:val="24"/>
        </w:rPr>
        <w:fldChar w:fldCharType="end"/>
      </w:r>
    </w:p>
    <w:p>
      <w:pPr>
        <w:pStyle w:val="13"/>
        <w:tabs>
          <w:tab w:val="right" w:leader="dot" w:pos="8306"/>
        </w:tabs>
        <w:spacing w:line="480" w:lineRule="exact"/>
        <w:rPr>
          <w:sz w:val="24"/>
        </w:rPr>
      </w:pPr>
      <w:r>
        <w:fldChar w:fldCharType="begin"/>
      </w:r>
      <w:r>
        <w:instrText xml:space="preserve"> HYPERLINK \l "_Toc6774" </w:instrText>
      </w:r>
      <w:r>
        <w:fldChar w:fldCharType="separate"/>
      </w:r>
      <w:r>
        <w:rPr>
          <w:rFonts w:hint="eastAsia" w:ascii="楷体" w:hAnsi="楷体" w:eastAsia="楷体" w:cs="楷体"/>
          <w:bCs/>
          <w:sz w:val="24"/>
        </w:rPr>
        <w:t>第二节 基本要求</w:t>
      </w:r>
      <w:r>
        <w:rPr>
          <w:sz w:val="24"/>
        </w:rPr>
        <w:tab/>
      </w:r>
      <w:r>
        <w:rPr>
          <w:sz w:val="24"/>
        </w:rPr>
        <w:fldChar w:fldCharType="begin"/>
      </w:r>
      <w:r>
        <w:rPr>
          <w:sz w:val="24"/>
        </w:rPr>
        <w:instrText xml:space="preserve"> PAGEREF _Toc6774 </w:instrText>
      </w:r>
      <w:r>
        <w:rPr>
          <w:sz w:val="24"/>
        </w:rPr>
        <w:fldChar w:fldCharType="separate"/>
      </w:r>
      <w:r>
        <w:rPr>
          <w:sz w:val="24"/>
        </w:rPr>
        <w:t>10</w:t>
      </w:r>
      <w:r>
        <w:rPr>
          <w:sz w:val="24"/>
        </w:rPr>
        <w:fldChar w:fldCharType="end"/>
      </w:r>
      <w:r>
        <w:rPr>
          <w:sz w:val="24"/>
        </w:rPr>
        <w:fldChar w:fldCharType="end"/>
      </w:r>
    </w:p>
    <w:p>
      <w:pPr>
        <w:pStyle w:val="13"/>
        <w:tabs>
          <w:tab w:val="right" w:leader="dot" w:pos="8306"/>
        </w:tabs>
        <w:spacing w:line="480" w:lineRule="exact"/>
        <w:rPr>
          <w:sz w:val="24"/>
        </w:rPr>
      </w:pPr>
      <w:r>
        <w:fldChar w:fldCharType="begin"/>
      </w:r>
      <w:r>
        <w:instrText xml:space="preserve"> HYPERLINK \l "_Toc2049" </w:instrText>
      </w:r>
      <w:r>
        <w:fldChar w:fldCharType="separate"/>
      </w:r>
      <w:r>
        <w:rPr>
          <w:rFonts w:hint="eastAsia" w:ascii="楷体" w:hAnsi="楷体" w:eastAsia="楷体" w:cs="楷体"/>
          <w:bCs/>
          <w:sz w:val="24"/>
        </w:rPr>
        <w:t>第三节 二〇三五年远景目标</w:t>
      </w:r>
      <w:r>
        <w:rPr>
          <w:sz w:val="24"/>
        </w:rPr>
        <w:tab/>
      </w:r>
      <w:r>
        <w:rPr>
          <w:sz w:val="24"/>
        </w:rPr>
        <w:fldChar w:fldCharType="begin"/>
      </w:r>
      <w:r>
        <w:rPr>
          <w:sz w:val="24"/>
        </w:rPr>
        <w:instrText xml:space="preserve"> PAGEREF _Toc2049 </w:instrText>
      </w:r>
      <w:r>
        <w:rPr>
          <w:sz w:val="24"/>
        </w:rPr>
        <w:fldChar w:fldCharType="separate"/>
      </w:r>
      <w:r>
        <w:rPr>
          <w:sz w:val="24"/>
        </w:rPr>
        <w:t>12</w:t>
      </w:r>
      <w:r>
        <w:rPr>
          <w:sz w:val="24"/>
        </w:rPr>
        <w:fldChar w:fldCharType="end"/>
      </w:r>
      <w:r>
        <w:rPr>
          <w:sz w:val="24"/>
        </w:rPr>
        <w:fldChar w:fldCharType="end"/>
      </w:r>
    </w:p>
    <w:p>
      <w:pPr>
        <w:pStyle w:val="13"/>
        <w:tabs>
          <w:tab w:val="right" w:leader="dot" w:pos="8306"/>
        </w:tabs>
        <w:spacing w:line="480" w:lineRule="exact"/>
        <w:rPr>
          <w:sz w:val="24"/>
        </w:rPr>
      </w:pPr>
      <w:r>
        <w:fldChar w:fldCharType="begin"/>
      </w:r>
      <w:r>
        <w:instrText xml:space="preserve"> HYPERLINK \l "_Toc31475" </w:instrText>
      </w:r>
      <w:r>
        <w:fldChar w:fldCharType="separate"/>
      </w:r>
      <w:r>
        <w:rPr>
          <w:rFonts w:hint="eastAsia" w:ascii="楷体" w:hAnsi="楷体" w:eastAsia="楷体" w:cs="楷体"/>
          <w:bCs/>
          <w:sz w:val="24"/>
        </w:rPr>
        <w:t>第四节 “十四五”发展目标</w:t>
      </w:r>
      <w:r>
        <w:rPr>
          <w:sz w:val="24"/>
        </w:rPr>
        <w:tab/>
      </w:r>
      <w:r>
        <w:rPr>
          <w:sz w:val="24"/>
        </w:rPr>
        <w:fldChar w:fldCharType="begin"/>
      </w:r>
      <w:r>
        <w:rPr>
          <w:sz w:val="24"/>
        </w:rPr>
        <w:instrText xml:space="preserve"> PAGEREF _Toc31475 </w:instrText>
      </w:r>
      <w:r>
        <w:rPr>
          <w:sz w:val="24"/>
        </w:rPr>
        <w:fldChar w:fldCharType="separate"/>
      </w:r>
      <w:r>
        <w:rPr>
          <w:sz w:val="24"/>
        </w:rPr>
        <w:t>14</w:t>
      </w:r>
      <w:r>
        <w:rPr>
          <w:sz w:val="24"/>
        </w:rPr>
        <w:fldChar w:fldCharType="end"/>
      </w:r>
      <w:r>
        <w:rPr>
          <w:sz w:val="24"/>
        </w:rPr>
        <w:fldChar w:fldCharType="end"/>
      </w:r>
    </w:p>
    <w:p>
      <w:pPr>
        <w:pStyle w:val="19"/>
        <w:tabs>
          <w:tab w:val="right" w:leader="dot" w:pos="8306"/>
        </w:tabs>
        <w:spacing w:line="480" w:lineRule="exact"/>
        <w:rPr>
          <w:sz w:val="24"/>
        </w:rPr>
      </w:pPr>
      <w:r>
        <w:fldChar w:fldCharType="begin"/>
      </w:r>
      <w:r>
        <w:instrText xml:space="preserve"> HYPERLINK \l "_Toc8503" </w:instrText>
      </w:r>
      <w:r>
        <w:fldChar w:fldCharType="separate"/>
      </w:r>
      <w:r>
        <w:rPr>
          <w:rFonts w:hint="eastAsia" w:ascii="黑体" w:hAnsi="黑体" w:eastAsia="黑体" w:cs="黑体"/>
          <w:sz w:val="24"/>
          <w:lang w:val="zh-CN"/>
        </w:rPr>
        <w:t>第二篇</w:t>
      </w:r>
      <w:r>
        <w:rPr>
          <w:rFonts w:ascii="黑体" w:hAnsi="黑体" w:eastAsia="黑体" w:cs="黑体"/>
          <w:sz w:val="24"/>
          <w:lang w:val="zh-CN"/>
        </w:rPr>
        <w:t xml:space="preserve"> </w:t>
      </w:r>
      <w:r>
        <w:rPr>
          <w:rFonts w:hint="eastAsia" w:ascii="黑体" w:hAnsi="黑体" w:eastAsia="黑体" w:cs="黑体"/>
          <w:sz w:val="24"/>
          <w:lang w:val="zh-CN"/>
        </w:rPr>
        <w:t>新时代推动深圳经济特区改革开放再出发</w:t>
      </w:r>
      <w:r>
        <w:rPr>
          <w:sz w:val="24"/>
        </w:rPr>
        <w:tab/>
      </w:r>
      <w:r>
        <w:rPr>
          <w:sz w:val="24"/>
        </w:rPr>
        <w:fldChar w:fldCharType="begin"/>
      </w:r>
      <w:r>
        <w:rPr>
          <w:sz w:val="24"/>
        </w:rPr>
        <w:instrText xml:space="preserve"> PAGEREF _Toc8503 </w:instrText>
      </w:r>
      <w:r>
        <w:rPr>
          <w:sz w:val="24"/>
        </w:rPr>
        <w:fldChar w:fldCharType="separate"/>
      </w:r>
      <w:r>
        <w:rPr>
          <w:sz w:val="24"/>
        </w:rPr>
        <w:t>17</w:t>
      </w:r>
      <w:r>
        <w:rPr>
          <w:sz w:val="24"/>
        </w:rPr>
        <w:fldChar w:fldCharType="end"/>
      </w:r>
      <w:r>
        <w:rPr>
          <w:sz w:val="24"/>
        </w:rPr>
        <w:fldChar w:fldCharType="end"/>
      </w:r>
    </w:p>
    <w:p>
      <w:pPr>
        <w:pStyle w:val="23"/>
        <w:tabs>
          <w:tab w:val="right" w:leader="dot" w:pos="8306"/>
        </w:tabs>
        <w:spacing w:line="480" w:lineRule="exact"/>
        <w:rPr>
          <w:sz w:val="24"/>
        </w:rPr>
      </w:pPr>
      <w:r>
        <w:fldChar w:fldCharType="begin"/>
      </w:r>
      <w:r>
        <w:instrText xml:space="preserve"> HYPERLINK \l "_Toc26964" </w:instrText>
      </w:r>
      <w:r>
        <w:fldChar w:fldCharType="separate"/>
      </w:r>
      <w:r>
        <w:rPr>
          <w:rFonts w:hint="eastAsia" w:ascii="黑体" w:hAnsi="黑体" w:eastAsia="黑体" w:cs="黑体"/>
          <w:sz w:val="24"/>
        </w:rPr>
        <w:t>第三章 以综合改革试点构筑体制机制新优势</w:t>
      </w:r>
      <w:r>
        <w:rPr>
          <w:sz w:val="24"/>
        </w:rPr>
        <w:tab/>
      </w:r>
      <w:r>
        <w:rPr>
          <w:sz w:val="24"/>
        </w:rPr>
        <w:fldChar w:fldCharType="begin"/>
      </w:r>
      <w:r>
        <w:rPr>
          <w:sz w:val="24"/>
        </w:rPr>
        <w:instrText xml:space="preserve"> PAGEREF _Toc26964 </w:instrText>
      </w:r>
      <w:r>
        <w:rPr>
          <w:sz w:val="24"/>
        </w:rPr>
        <w:fldChar w:fldCharType="separate"/>
      </w:r>
      <w:r>
        <w:rPr>
          <w:sz w:val="24"/>
        </w:rPr>
        <w:t>17</w:t>
      </w:r>
      <w:r>
        <w:rPr>
          <w:sz w:val="24"/>
        </w:rPr>
        <w:fldChar w:fldCharType="end"/>
      </w:r>
      <w:r>
        <w:rPr>
          <w:sz w:val="24"/>
        </w:rPr>
        <w:fldChar w:fldCharType="end"/>
      </w:r>
    </w:p>
    <w:p>
      <w:pPr>
        <w:pStyle w:val="13"/>
        <w:tabs>
          <w:tab w:val="right" w:leader="dot" w:pos="8306"/>
        </w:tabs>
        <w:spacing w:line="480" w:lineRule="exact"/>
        <w:rPr>
          <w:sz w:val="24"/>
        </w:rPr>
      </w:pPr>
      <w:r>
        <w:fldChar w:fldCharType="begin"/>
      </w:r>
      <w:r>
        <w:instrText xml:space="preserve"> HYPERLINK \l "_Toc14829" </w:instrText>
      </w:r>
      <w:r>
        <w:fldChar w:fldCharType="separate"/>
      </w:r>
      <w:r>
        <w:rPr>
          <w:rFonts w:hint="eastAsia" w:ascii="楷体" w:hAnsi="楷体" w:eastAsia="楷体" w:cs="楷体"/>
          <w:bCs/>
          <w:sz w:val="24"/>
        </w:rPr>
        <w:t>第一节 全面实施综合改革试点</w:t>
      </w:r>
      <w:r>
        <w:rPr>
          <w:sz w:val="24"/>
        </w:rPr>
        <w:tab/>
      </w:r>
      <w:r>
        <w:rPr>
          <w:sz w:val="24"/>
        </w:rPr>
        <w:fldChar w:fldCharType="begin"/>
      </w:r>
      <w:r>
        <w:rPr>
          <w:sz w:val="24"/>
        </w:rPr>
        <w:instrText xml:space="preserve"> PAGEREF _Toc14829 </w:instrText>
      </w:r>
      <w:r>
        <w:rPr>
          <w:sz w:val="24"/>
        </w:rPr>
        <w:fldChar w:fldCharType="separate"/>
      </w:r>
      <w:r>
        <w:rPr>
          <w:sz w:val="24"/>
        </w:rPr>
        <w:t>17</w:t>
      </w:r>
      <w:r>
        <w:rPr>
          <w:sz w:val="24"/>
        </w:rPr>
        <w:fldChar w:fldCharType="end"/>
      </w:r>
      <w:r>
        <w:rPr>
          <w:sz w:val="24"/>
        </w:rPr>
        <w:fldChar w:fldCharType="end"/>
      </w:r>
    </w:p>
    <w:p>
      <w:pPr>
        <w:pStyle w:val="13"/>
        <w:tabs>
          <w:tab w:val="right" w:leader="dot" w:pos="8306"/>
        </w:tabs>
        <w:spacing w:line="480" w:lineRule="exact"/>
        <w:rPr>
          <w:sz w:val="24"/>
        </w:rPr>
      </w:pPr>
      <w:r>
        <w:fldChar w:fldCharType="begin"/>
      </w:r>
      <w:r>
        <w:instrText xml:space="preserve"> HYPERLINK \l "_Toc67" </w:instrText>
      </w:r>
      <w:r>
        <w:fldChar w:fldCharType="separate"/>
      </w:r>
      <w:r>
        <w:rPr>
          <w:rFonts w:hint="eastAsia" w:ascii="楷体" w:hAnsi="楷体" w:eastAsia="楷体" w:cs="楷体"/>
          <w:bCs/>
          <w:sz w:val="24"/>
        </w:rPr>
        <w:t>第二节 完善要素市场化配置机制</w:t>
      </w:r>
      <w:r>
        <w:rPr>
          <w:sz w:val="24"/>
        </w:rPr>
        <w:tab/>
      </w:r>
      <w:r>
        <w:rPr>
          <w:sz w:val="24"/>
        </w:rPr>
        <w:fldChar w:fldCharType="begin"/>
      </w:r>
      <w:r>
        <w:rPr>
          <w:sz w:val="24"/>
        </w:rPr>
        <w:instrText xml:space="preserve"> PAGEREF _Toc67 </w:instrText>
      </w:r>
      <w:r>
        <w:rPr>
          <w:sz w:val="24"/>
        </w:rPr>
        <w:fldChar w:fldCharType="separate"/>
      </w:r>
      <w:r>
        <w:rPr>
          <w:sz w:val="24"/>
        </w:rPr>
        <w:t>19</w:t>
      </w:r>
      <w:r>
        <w:rPr>
          <w:sz w:val="24"/>
        </w:rPr>
        <w:fldChar w:fldCharType="end"/>
      </w:r>
      <w:r>
        <w:rPr>
          <w:sz w:val="24"/>
        </w:rPr>
        <w:fldChar w:fldCharType="end"/>
      </w:r>
    </w:p>
    <w:p>
      <w:pPr>
        <w:pStyle w:val="13"/>
        <w:tabs>
          <w:tab w:val="right" w:leader="dot" w:pos="8306"/>
        </w:tabs>
        <w:spacing w:line="480" w:lineRule="exact"/>
        <w:rPr>
          <w:sz w:val="24"/>
        </w:rPr>
      </w:pPr>
      <w:r>
        <w:fldChar w:fldCharType="begin"/>
      </w:r>
      <w:r>
        <w:instrText xml:space="preserve"> HYPERLINK \l "_Toc11280" </w:instrText>
      </w:r>
      <w:r>
        <w:fldChar w:fldCharType="separate"/>
      </w:r>
      <w:r>
        <w:rPr>
          <w:rFonts w:hint="eastAsia" w:ascii="楷体" w:hAnsi="楷体" w:eastAsia="楷体" w:cs="楷体"/>
          <w:bCs/>
          <w:sz w:val="24"/>
        </w:rPr>
        <w:t>第三节 建设国家营商环境创新试点城市</w:t>
      </w:r>
      <w:r>
        <w:rPr>
          <w:sz w:val="24"/>
        </w:rPr>
        <w:tab/>
      </w:r>
      <w:r>
        <w:rPr>
          <w:sz w:val="24"/>
        </w:rPr>
        <w:fldChar w:fldCharType="begin"/>
      </w:r>
      <w:r>
        <w:rPr>
          <w:sz w:val="24"/>
        </w:rPr>
        <w:instrText xml:space="preserve"> PAGEREF _Toc11280 </w:instrText>
      </w:r>
      <w:r>
        <w:rPr>
          <w:sz w:val="24"/>
        </w:rPr>
        <w:fldChar w:fldCharType="separate"/>
      </w:r>
      <w:r>
        <w:rPr>
          <w:sz w:val="24"/>
        </w:rPr>
        <w:t>21</w:t>
      </w:r>
      <w:r>
        <w:rPr>
          <w:sz w:val="24"/>
        </w:rPr>
        <w:fldChar w:fldCharType="end"/>
      </w:r>
      <w:r>
        <w:rPr>
          <w:sz w:val="24"/>
        </w:rPr>
        <w:fldChar w:fldCharType="end"/>
      </w:r>
    </w:p>
    <w:p>
      <w:pPr>
        <w:pStyle w:val="13"/>
        <w:tabs>
          <w:tab w:val="right" w:leader="dot" w:pos="8306"/>
        </w:tabs>
        <w:spacing w:line="480" w:lineRule="exact"/>
        <w:rPr>
          <w:sz w:val="24"/>
        </w:rPr>
      </w:pPr>
      <w:r>
        <w:fldChar w:fldCharType="begin"/>
      </w:r>
      <w:r>
        <w:instrText xml:space="preserve"> HYPERLINK \l "_Toc30378" </w:instrText>
      </w:r>
      <w:r>
        <w:fldChar w:fldCharType="separate"/>
      </w:r>
      <w:r>
        <w:rPr>
          <w:rFonts w:hint="eastAsia" w:ascii="楷体" w:hAnsi="楷体" w:eastAsia="楷体" w:cs="楷体"/>
          <w:bCs/>
          <w:sz w:val="24"/>
        </w:rPr>
        <w:t>第四节 激发市场主体活力</w:t>
      </w:r>
      <w:r>
        <w:rPr>
          <w:sz w:val="24"/>
        </w:rPr>
        <w:tab/>
      </w:r>
      <w:r>
        <w:rPr>
          <w:sz w:val="24"/>
        </w:rPr>
        <w:fldChar w:fldCharType="begin"/>
      </w:r>
      <w:r>
        <w:rPr>
          <w:sz w:val="24"/>
        </w:rPr>
        <w:instrText xml:space="preserve"> PAGEREF _Toc30378 </w:instrText>
      </w:r>
      <w:r>
        <w:rPr>
          <w:sz w:val="24"/>
        </w:rPr>
        <w:fldChar w:fldCharType="separate"/>
      </w:r>
      <w:r>
        <w:rPr>
          <w:sz w:val="24"/>
        </w:rPr>
        <w:t>23</w:t>
      </w:r>
      <w:r>
        <w:rPr>
          <w:sz w:val="24"/>
        </w:rPr>
        <w:fldChar w:fldCharType="end"/>
      </w:r>
      <w:r>
        <w:rPr>
          <w:sz w:val="24"/>
        </w:rPr>
        <w:fldChar w:fldCharType="end"/>
      </w:r>
    </w:p>
    <w:p>
      <w:pPr>
        <w:pStyle w:val="13"/>
        <w:tabs>
          <w:tab w:val="right" w:leader="dot" w:pos="8306"/>
        </w:tabs>
        <w:spacing w:line="480" w:lineRule="exact"/>
        <w:rPr>
          <w:sz w:val="24"/>
        </w:rPr>
      </w:pPr>
      <w:r>
        <w:fldChar w:fldCharType="begin"/>
      </w:r>
      <w:r>
        <w:instrText xml:space="preserve"> HYPERLINK \l "_Toc3467" </w:instrText>
      </w:r>
      <w:r>
        <w:fldChar w:fldCharType="separate"/>
      </w:r>
      <w:r>
        <w:rPr>
          <w:rFonts w:hint="eastAsia" w:ascii="楷体" w:hAnsi="楷体" w:eastAsia="楷体" w:cs="楷体"/>
          <w:bCs/>
          <w:sz w:val="24"/>
        </w:rPr>
        <w:t>第五节 创新行政管理体制</w:t>
      </w:r>
      <w:r>
        <w:rPr>
          <w:sz w:val="24"/>
        </w:rPr>
        <w:tab/>
      </w:r>
      <w:r>
        <w:rPr>
          <w:sz w:val="24"/>
        </w:rPr>
        <w:fldChar w:fldCharType="begin"/>
      </w:r>
      <w:r>
        <w:rPr>
          <w:sz w:val="24"/>
        </w:rPr>
        <w:instrText xml:space="preserve"> PAGEREF _Toc3467 </w:instrText>
      </w:r>
      <w:r>
        <w:rPr>
          <w:sz w:val="24"/>
        </w:rPr>
        <w:fldChar w:fldCharType="separate"/>
      </w:r>
      <w:r>
        <w:rPr>
          <w:sz w:val="24"/>
        </w:rPr>
        <w:t>24</w:t>
      </w:r>
      <w:r>
        <w:rPr>
          <w:sz w:val="24"/>
        </w:rPr>
        <w:fldChar w:fldCharType="end"/>
      </w:r>
      <w:r>
        <w:rPr>
          <w:sz w:val="24"/>
        </w:rPr>
        <w:fldChar w:fldCharType="end"/>
      </w:r>
    </w:p>
    <w:p>
      <w:pPr>
        <w:pStyle w:val="23"/>
        <w:tabs>
          <w:tab w:val="right" w:leader="dot" w:pos="8306"/>
        </w:tabs>
        <w:spacing w:line="480" w:lineRule="exact"/>
        <w:rPr>
          <w:sz w:val="24"/>
        </w:rPr>
      </w:pPr>
      <w:r>
        <w:fldChar w:fldCharType="begin"/>
      </w:r>
      <w:r>
        <w:instrText xml:space="preserve"> HYPERLINK \l "_Toc716" </w:instrText>
      </w:r>
      <w:r>
        <w:fldChar w:fldCharType="separate"/>
      </w:r>
      <w:r>
        <w:rPr>
          <w:rFonts w:hint="eastAsia" w:ascii="黑体" w:hAnsi="黑体" w:eastAsia="黑体" w:cs="黑体"/>
          <w:sz w:val="24"/>
        </w:rPr>
        <w:t>第四章</w:t>
      </w:r>
      <w:r>
        <w:rPr>
          <w:rFonts w:ascii="黑体" w:hAnsi="黑体" w:eastAsia="黑体" w:cs="黑体"/>
          <w:sz w:val="24"/>
        </w:rPr>
        <w:t xml:space="preserve"> </w:t>
      </w:r>
      <w:r>
        <w:rPr>
          <w:rFonts w:hint="eastAsia" w:ascii="黑体" w:hAnsi="黑体" w:eastAsia="黑体" w:cs="黑体"/>
          <w:sz w:val="24"/>
        </w:rPr>
        <w:t>努力成为构建新发展格局的先行示范者</w:t>
      </w:r>
      <w:r>
        <w:rPr>
          <w:sz w:val="24"/>
        </w:rPr>
        <w:tab/>
      </w:r>
      <w:r>
        <w:rPr>
          <w:sz w:val="24"/>
        </w:rPr>
        <w:fldChar w:fldCharType="begin"/>
      </w:r>
      <w:r>
        <w:rPr>
          <w:sz w:val="24"/>
        </w:rPr>
        <w:instrText xml:space="preserve"> PAGEREF _Toc716 </w:instrText>
      </w:r>
      <w:r>
        <w:rPr>
          <w:sz w:val="24"/>
        </w:rPr>
        <w:fldChar w:fldCharType="separate"/>
      </w:r>
      <w:r>
        <w:rPr>
          <w:sz w:val="24"/>
        </w:rPr>
        <w:t>26</w:t>
      </w:r>
      <w:r>
        <w:rPr>
          <w:sz w:val="24"/>
        </w:rPr>
        <w:fldChar w:fldCharType="end"/>
      </w:r>
      <w:r>
        <w:rPr>
          <w:sz w:val="24"/>
        </w:rPr>
        <w:fldChar w:fldCharType="end"/>
      </w:r>
    </w:p>
    <w:p>
      <w:pPr>
        <w:pStyle w:val="13"/>
        <w:tabs>
          <w:tab w:val="right" w:leader="dot" w:pos="8306"/>
        </w:tabs>
        <w:spacing w:line="480" w:lineRule="exact"/>
        <w:rPr>
          <w:sz w:val="24"/>
        </w:rPr>
      </w:pPr>
      <w:r>
        <w:fldChar w:fldCharType="begin"/>
      </w:r>
      <w:r>
        <w:instrText xml:space="preserve"> HYPERLINK \l "_Toc23436" </w:instrText>
      </w:r>
      <w:r>
        <w:fldChar w:fldCharType="separate"/>
      </w:r>
      <w:r>
        <w:rPr>
          <w:rFonts w:hint="eastAsia" w:ascii="楷体" w:hAnsi="楷体" w:eastAsia="楷体" w:cs="楷体"/>
          <w:bCs/>
          <w:sz w:val="24"/>
        </w:rPr>
        <w:t>第一节</w:t>
      </w:r>
      <w:r>
        <w:rPr>
          <w:rFonts w:ascii="楷体" w:hAnsi="楷体" w:eastAsia="楷体" w:cs="楷体"/>
          <w:bCs/>
          <w:sz w:val="24"/>
        </w:rPr>
        <w:t xml:space="preserve"> </w:t>
      </w:r>
      <w:r>
        <w:rPr>
          <w:rFonts w:hint="eastAsia" w:ascii="楷体" w:hAnsi="楷体" w:eastAsia="楷体" w:cs="楷体"/>
          <w:bCs/>
          <w:sz w:val="24"/>
        </w:rPr>
        <w:t>服务国内大循环</w:t>
      </w:r>
      <w:r>
        <w:rPr>
          <w:sz w:val="24"/>
        </w:rPr>
        <w:tab/>
      </w:r>
      <w:r>
        <w:rPr>
          <w:sz w:val="24"/>
        </w:rPr>
        <w:fldChar w:fldCharType="begin"/>
      </w:r>
      <w:r>
        <w:rPr>
          <w:sz w:val="24"/>
        </w:rPr>
        <w:instrText xml:space="preserve"> PAGEREF _Toc23436 </w:instrText>
      </w:r>
      <w:r>
        <w:rPr>
          <w:sz w:val="24"/>
        </w:rPr>
        <w:fldChar w:fldCharType="separate"/>
      </w:r>
      <w:r>
        <w:rPr>
          <w:sz w:val="24"/>
        </w:rPr>
        <w:t>26</w:t>
      </w:r>
      <w:r>
        <w:rPr>
          <w:sz w:val="24"/>
        </w:rPr>
        <w:fldChar w:fldCharType="end"/>
      </w:r>
      <w:r>
        <w:rPr>
          <w:sz w:val="24"/>
        </w:rPr>
        <w:fldChar w:fldCharType="end"/>
      </w:r>
    </w:p>
    <w:p>
      <w:pPr>
        <w:pStyle w:val="13"/>
        <w:tabs>
          <w:tab w:val="right" w:leader="dot" w:pos="8306"/>
        </w:tabs>
        <w:spacing w:line="480" w:lineRule="exact"/>
        <w:rPr>
          <w:sz w:val="24"/>
        </w:rPr>
      </w:pPr>
      <w:r>
        <w:fldChar w:fldCharType="begin"/>
      </w:r>
      <w:r>
        <w:instrText xml:space="preserve"> HYPERLINK \l "_Toc13616" </w:instrText>
      </w:r>
      <w:r>
        <w:fldChar w:fldCharType="separate"/>
      </w:r>
      <w:r>
        <w:rPr>
          <w:rFonts w:hint="eastAsia" w:ascii="楷体" w:hAnsi="楷体" w:eastAsia="楷体" w:cs="楷体"/>
          <w:bCs/>
          <w:sz w:val="24"/>
        </w:rPr>
        <w:t>第二节 联通国内国际双循环</w:t>
      </w:r>
      <w:r>
        <w:rPr>
          <w:sz w:val="24"/>
        </w:rPr>
        <w:tab/>
      </w:r>
      <w:r>
        <w:rPr>
          <w:sz w:val="24"/>
        </w:rPr>
        <w:fldChar w:fldCharType="begin"/>
      </w:r>
      <w:r>
        <w:rPr>
          <w:sz w:val="24"/>
        </w:rPr>
        <w:instrText xml:space="preserve"> PAGEREF _Toc13616 </w:instrText>
      </w:r>
      <w:r>
        <w:rPr>
          <w:sz w:val="24"/>
        </w:rPr>
        <w:fldChar w:fldCharType="separate"/>
      </w:r>
      <w:r>
        <w:rPr>
          <w:sz w:val="24"/>
        </w:rPr>
        <w:t>28</w:t>
      </w:r>
      <w:r>
        <w:rPr>
          <w:sz w:val="24"/>
        </w:rPr>
        <w:fldChar w:fldCharType="end"/>
      </w:r>
      <w:r>
        <w:rPr>
          <w:sz w:val="24"/>
        </w:rPr>
        <w:fldChar w:fldCharType="end"/>
      </w:r>
    </w:p>
    <w:p>
      <w:pPr>
        <w:pStyle w:val="13"/>
        <w:tabs>
          <w:tab w:val="right" w:leader="dot" w:pos="8306"/>
        </w:tabs>
        <w:spacing w:line="480" w:lineRule="exact"/>
        <w:rPr>
          <w:sz w:val="24"/>
        </w:rPr>
      </w:pPr>
      <w:r>
        <w:fldChar w:fldCharType="begin"/>
      </w:r>
      <w:r>
        <w:instrText xml:space="preserve"> HYPERLINK \l "_Toc5197" </w:instrText>
      </w:r>
      <w:r>
        <w:fldChar w:fldCharType="separate"/>
      </w:r>
      <w:r>
        <w:rPr>
          <w:rFonts w:hint="eastAsia" w:ascii="楷体" w:hAnsi="楷体" w:eastAsia="楷体" w:cs="楷体"/>
          <w:bCs/>
          <w:sz w:val="24"/>
        </w:rPr>
        <w:t>第三节 深度参与“一带一路”建设</w:t>
      </w:r>
      <w:r>
        <w:rPr>
          <w:sz w:val="24"/>
        </w:rPr>
        <w:tab/>
      </w:r>
      <w:r>
        <w:rPr>
          <w:sz w:val="24"/>
        </w:rPr>
        <w:fldChar w:fldCharType="begin"/>
      </w:r>
      <w:r>
        <w:rPr>
          <w:sz w:val="24"/>
        </w:rPr>
        <w:instrText xml:space="preserve"> PAGEREF _Toc5197 </w:instrText>
      </w:r>
      <w:r>
        <w:rPr>
          <w:sz w:val="24"/>
        </w:rPr>
        <w:fldChar w:fldCharType="separate"/>
      </w:r>
      <w:r>
        <w:rPr>
          <w:sz w:val="24"/>
        </w:rPr>
        <w:t>30</w:t>
      </w:r>
      <w:r>
        <w:rPr>
          <w:sz w:val="24"/>
        </w:rPr>
        <w:fldChar w:fldCharType="end"/>
      </w:r>
      <w:r>
        <w:rPr>
          <w:sz w:val="24"/>
        </w:rPr>
        <w:fldChar w:fldCharType="end"/>
      </w:r>
    </w:p>
    <w:p>
      <w:pPr>
        <w:pStyle w:val="13"/>
        <w:tabs>
          <w:tab w:val="right" w:leader="dot" w:pos="8306"/>
        </w:tabs>
        <w:spacing w:line="480" w:lineRule="exact"/>
        <w:rPr>
          <w:sz w:val="24"/>
        </w:rPr>
      </w:pPr>
      <w:r>
        <w:fldChar w:fldCharType="begin"/>
      </w:r>
      <w:r>
        <w:instrText xml:space="preserve"> HYPERLINK \l "_Toc11209" </w:instrText>
      </w:r>
      <w:r>
        <w:fldChar w:fldCharType="separate"/>
      </w:r>
      <w:r>
        <w:rPr>
          <w:rFonts w:hint="eastAsia" w:ascii="楷体" w:hAnsi="楷体" w:eastAsia="楷体" w:cs="楷体"/>
          <w:bCs/>
          <w:sz w:val="24"/>
        </w:rPr>
        <w:t>第四节 建设国际消费中心城市</w:t>
      </w:r>
      <w:r>
        <w:rPr>
          <w:sz w:val="24"/>
        </w:rPr>
        <w:tab/>
      </w:r>
      <w:r>
        <w:rPr>
          <w:sz w:val="24"/>
        </w:rPr>
        <w:fldChar w:fldCharType="begin"/>
      </w:r>
      <w:r>
        <w:rPr>
          <w:sz w:val="24"/>
        </w:rPr>
        <w:instrText xml:space="preserve"> PAGEREF _Toc11209 </w:instrText>
      </w:r>
      <w:r>
        <w:rPr>
          <w:sz w:val="24"/>
        </w:rPr>
        <w:fldChar w:fldCharType="separate"/>
      </w:r>
      <w:r>
        <w:rPr>
          <w:sz w:val="24"/>
        </w:rPr>
        <w:t>31</w:t>
      </w:r>
      <w:r>
        <w:rPr>
          <w:sz w:val="24"/>
        </w:rPr>
        <w:fldChar w:fldCharType="end"/>
      </w:r>
      <w:r>
        <w:rPr>
          <w:sz w:val="24"/>
        </w:rPr>
        <w:fldChar w:fldCharType="end"/>
      </w:r>
    </w:p>
    <w:p>
      <w:pPr>
        <w:pStyle w:val="19"/>
        <w:tabs>
          <w:tab w:val="right" w:leader="dot" w:pos="8306"/>
        </w:tabs>
        <w:spacing w:line="480" w:lineRule="exact"/>
        <w:rPr>
          <w:sz w:val="24"/>
        </w:rPr>
      </w:pPr>
      <w:r>
        <w:fldChar w:fldCharType="begin"/>
      </w:r>
      <w:r>
        <w:instrText xml:space="preserve"> HYPERLINK \l "_Toc26519" </w:instrText>
      </w:r>
      <w:r>
        <w:fldChar w:fldCharType="separate"/>
      </w:r>
      <w:r>
        <w:rPr>
          <w:rFonts w:hint="eastAsia" w:ascii="黑体" w:hAnsi="黑体" w:eastAsia="黑体" w:cs="黑体"/>
          <w:sz w:val="24"/>
        </w:rPr>
        <w:t>第三篇 增强深圳在粤港澳大湾区中的核心引擎功能</w:t>
      </w:r>
      <w:r>
        <w:rPr>
          <w:sz w:val="24"/>
        </w:rPr>
        <w:tab/>
      </w:r>
      <w:r>
        <w:rPr>
          <w:sz w:val="24"/>
        </w:rPr>
        <w:fldChar w:fldCharType="begin"/>
      </w:r>
      <w:r>
        <w:rPr>
          <w:sz w:val="24"/>
        </w:rPr>
        <w:instrText xml:space="preserve"> PAGEREF _Toc26519 </w:instrText>
      </w:r>
      <w:r>
        <w:rPr>
          <w:sz w:val="24"/>
        </w:rPr>
        <w:fldChar w:fldCharType="separate"/>
      </w:r>
      <w:r>
        <w:rPr>
          <w:sz w:val="24"/>
        </w:rPr>
        <w:t>33</w:t>
      </w:r>
      <w:r>
        <w:rPr>
          <w:sz w:val="24"/>
        </w:rPr>
        <w:fldChar w:fldCharType="end"/>
      </w:r>
      <w:r>
        <w:rPr>
          <w:sz w:val="24"/>
        </w:rPr>
        <w:fldChar w:fldCharType="end"/>
      </w:r>
    </w:p>
    <w:p>
      <w:pPr>
        <w:pStyle w:val="23"/>
        <w:tabs>
          <w:tab w:val="right" w:leader="dot" w:pos="8306"/>
        </w:tabs>
        <w:spacing w:line="480" w:lineRule="exact"/>
        <w:rPr>
          <w:sz w:val="24"/>
        </w:rPr>
      </w:pPr>
      <w:r>
        <w:fldChar w:fldCharType="begin"/>
      </w:r>
      <w:r>
        <w:instrText xml:space="preserve"> HYPERLINK \l "_Toc11953" </w:instrText>
      </w:r>
      <w:r>
        <w:fldChar w:fldCharType="separate"/>
      </w:r>
      <w:r>
        <w:rPr>
          <w:rFonts w:hint="eastAsia" w:ascii="黑体" w:hAnsi="黑体" w:eastAsia="黑体" w:cs="黑体"/>
          <w:sz w:val="24"/>
        </w:rPr>
        <w:t>第五章 携手共建国际一流湾区和世界级城市群</w:t>
      </w:r>
      <w:r>
        <w:rPr>
          <w:sz w:val="24"/>
        </w:rPr>
        <w:tab/>
      </w:r>
      <w:r>
        <w:rPr>
          <w:sz w:val="24"/>
        </w:rPr>
        <w:fldChar w:fldCharType="begin"/>
      </w:r>
      <w:r>
        <w:rPr>
          <w:sz w:val="24"/>
        </w:rPr>
        <w:instrText xml:space="preserve"> PAGEREF _Toc11953 </w:instrText>
      </w:r>
      <w:r>
        <w:rPr>
          <w:sz w:val="24"/>
        </w:rPr>
        <w:fldChar w:fldCharType="separate"/>
      </w:r>
      <w:r>
        <w:rPr>
          <w:sz w:val="24"/>
        </w:rPr>
        <w:t>33</w:t>
      </w:r>
      <w:r>
        <w:rPr>
          <w:sz w:val="24"/>
        </w:rPr>
        <w:fldChar w:fldCharType="end"/>
      </w:r>
      <w:r>
        <w:rPr>
          <w:sz w:val="24"/>
        </w:rPr>
        <w:fldChar w:fldCharType="end"/>
      </w:r>
    </w:p>
    <w:p>
      <w:pPr>
        <w:pStyle w:val="13"/>
        <w:tabs>
          <w:tab w:val="right" w:leader="dot" w:pos="8306"/>
        </w:tabs>
        <w:spacing w:line="480" w:lineRule="exact"/>
        <w:rPr>
          <w:sz w:val="24"/>
        </w:rPr>
      </w:pPr>
      <w:r>
        <w:fldChar w:fldCharType="begin"/>
      </w:r>
      <w:r>
        <w:instrText xml:space="preserve"> HYPERLINK \l "_Toc8209" </w:instrText>
      </w:r>
      <w:r>
        <w:fldChar w:fldCharType="separate"/>
      </w:r>
      <w:r>
        <w:rPr>
          <w:rFonts w:hint="eastAsia" w:ascii="楷体" w:hAnsi="楷体" w:eastAsia="楷体" w:cs="楷体"/>
          <w:bCs/>
          <w:sz w:val="24"/>
        </w:rPr>
        <w:t>第一节 推进深港澳深度合作</w:t>
      </w:r>
      <w:r>
        <w:rPr>
          <w:sz w:val="24"/>
        </w:rPr>
        <w:tab/>
      </w:r>
      <w:r>
        <w:rPr>
          <w:sz w:val="24"/>
        </w:rPr>
        <w:fldChar w:fldCharType="begin"/>
      </w:r>
      <w:r>
        <w:rPr>
          <w:sz w:val="24"/>
        </w:rPr>
        <w:instrText xml:space="preserve"> PAGEREF _Toc8209 </w:instrText>
      </w:r>
      <w:r>
        <w:rPr>
          <w:sz w:val="24"/>
        </w:rPr>
        <w:fldChar w:fldCharType="separate"/>
      </w:r>
      <w:r>
        <w:rPr>
          <w:sz w:val="24"/>
        </w:rPr>
        <w:t>33</w:t>
      </w:r>
      <w:r>
        <w:rPr>
          <w:sz w:val="24"/>
        </w:rPr>
        <w:fldChar w:fldCharType="end"/>
      </w:r>
      <w:r>
        <w:rPr>
          <w:sz w:val="24"/>
        </w:rPr>
        <w:fldChar w:fldCharType="end"/>
      </w:r>
    </w:p>
    <w:p>
      <w:pPr>
        <w:pStyle w:val="13"/>
        <w:tabs>
          <w:tab w:val="right" w:leader="dot" w:pos="8306"/>
        </w:tabs>
        <w:spacing w:line="480" w:lineRule="exact"/>
        <w:rPr>
          <w:sz w:val="24"/>
        </w:rPr>
      </w:pPr>
      <w:r>
        <w:fldChar w:fldCharType="begin"/>
      </w:r>
      <w:r>
        <w:instrText xml:space="preserve"> HYPERLINK \l "_Toc27667" </w:instrText>
      </w:r>
      <w:r>
        <w:fldChar w:fldCharType="separate"/>
      </w:r>
      <w:r>
        <w:rPr>
          <w:rFonts w:hint="eastAsia" w:ascii="楷体" w:hAnsi="楷体" w:eastAsia="楷体" w:cs="楷体"/>
          <w:bCs/>
          <w:sz w:val="24"/>
        </w:rPr>
        <w:t>第二节 建设现代化都市圈</w:t>
      </w:r>
      <w:r>
        <w:rPr>
          <w:sz w:val="24"/>
        </w:rPr>
        <w:tab/>
      </w:r>
      <w:r>
        <w:rPr>
          <w:sz w:val="24"/>
        </w:rPr>
        <w:fldChar w:fldCharType="begin"/>
      </w:r>
      <w:r>
        <w:rPr>
          <w:sz w:val="24"/>
        </w:rPr>
        <w:instrText xml:space="preserve"> PAGEREF _Toc27667 </w:instrText>
      </w:r>
      <w:r>
        <w:rPr>
          <w:sz w:val="24"/>
        </w:rPr>
        <w:fldChar w:fldCharType="separate"/>
      </w:r>
      <w:r>
        <w:rPr>
          <w:sz w:val="24"/>
        </w:rPr>
        <w:t>35</w:t>
      </w:r>
      <w:r>
        <w:rPr>
          <w:sz w:val="24"/>
        </w:rPr>
        <w:fldChar w:fldCharType="end"/>
      </w:r>
      <w:r>
        <w:rPr>
          <w:sz w:val="24"/>
        </w:rPr>
        <w:fldChar w:fldCharType="end"/>
      </w:r>
    </w:p>
    <w:p>
      <w:pPr>
        <w:pStyle w:val="13"/>
        <w:tabs>
          <w:tab w:val="right" w:leader="dot" w:pos="8306"/>
        </w:tabs>
        <w:spacing w:line="480" w:lineRule="exact"/>
        <w:rPr>
          <w:sz w:val="24"/>
        </w:rPr>
      </w:pPr>
      <w:r>
        <w:fldChar w:fldCharType="begin"/>
      </w:r>
      <w:r>
        <w:instrText xml:space="preserve"> HYPERLINK \l "_Toc1342" </w:instrText>
      </w:r>
      <w:r>
        <w:fldChar w:fldCharType="separate"/>
      </w:r>
      <w:r>
        <w:rPr>
          <w:rFonts w:hint="eastAsia" w:ascii="楷体" w:hAnsi="楷体" w:eastAsia="楷体" w:cs="楷体"/>
          <w:bCs/>
          <w:sz w:val="24"/>
        </w:rPr>
        <w:t>第三节 增强“一核一带一区”主引擎作用</w:t>
      </w:r>
      <w:r>
        <w:rPr>
          <w:sz w:val="24"/>
        </w:rPr>
        <w:tab/>
      </w:r>
      <w:r>
        <w:rPr>
          <w:sz w:val="24"/>
        </w:rPr>
        <w:fldChar w:fldCharType="begin"/>
      </w:r>
      <w:r>
        <w:rPr>
          <w:sz w:val="24"/>
        </w:rPr>
        <w:instrText xml:space="preserve"> PAGEREF _Toc1342 </w:instrText>
      </w:r>
      <w:r>
        <w:rPr>
          <w:sz w:val="24"/>
        </w:rPr>
        <w:fldChar w:fldCharType="separate"/>
      </w:r>
      <w:r>
        <w:rPr>
          <w:sz w:val="24"/>
        </w:rPr>
        <w:t>36</w:t>
      </w:r>
      <w:r>
        <w:rPr>
          <w:sz w:val="24"/>
        </w:rPr>
        <w:fldChar w:fldCharType="end"/>
      </w:r>
      <w:r>
        <w:rPr>
          <w:sz w:val="24"/>
        </w:rPr>
        <w:fldChar w:fldCharType="end"/>
      </w:r>
    </w:p>
    <w:p>
      <w:pPr>
        <w:pStyle w:val="13"/>
        <w:tabs>
          <w:tab w:val="right" w:leader="dot" w:pos="8306"/>
        </w:tabs>
        <w:spacing w:line="480" w:lineRule="exact"/>
        <w:rPr>
          <w:sz w:val="24"/>
        </w:rPr>
      </w:pPr>
      <w:r>
        <w:fldChar w:fldCharType="begin"/>
      </w:r>
      <w:r>
        <w:instrText xml:space="preserve"> HYPERLINK \l "_Toc23787" </w:instrText>
      </w:r>
      <w:r>
        <w:fldChar w:fldCharType="separate"/>
      </w:r>
      <w:r>
        <w:rPr>
          <w:rFonts w:hint="eastAsia" w:ascii="楷体" w:hAnsi="楷体" w:eastAsia="楷体" w:cs="楷体"/>
          <w:bCs/>
          <w:sz w:val="24"/>
        </w:rPr>
        <w:t>第四节 扎实开展对口帮扶和合作交流</w:t>
      </w:r>
      <w:r>
        <w:rPr>
          <w:sz w:val="24"/>
        </w:rPr>
        <w:tab/>
      </w:r>
      <w:r>
        <w:rPr>
          <w:sz w:val="24"/>
        </w:rPr>
        <w:fldChar w:fldCharType="begin"/>
      </w:r>
      <w:r>
        <w:rPr>
          <w:sz w:val="24"/>
        </w:rPr>
        <w:instrText xml:space="preserve"> PAGEREF _Toc23787 </w:instrText>
      </w:r>
      <w:r>
        <w:rPr>
          <w:sz w:val="24"/>
        </w:rPr>
        <w:fldChar w:fldCharType="separate"/>
      </w:r>
      <w:r>
        <w:rPr>
          <w:sz w:val="24"/>
        </w:rPr>
        <w:t>36</w:t>
      </w:r>
      <w:r>
        <w:rPr>
          <w:sz w:val="24"/>
        </w:rPr>
        <w:fldChar w:fldCharType="end"/>
      </w:r>
      <w:r>
        <w:rPr>
          <w:sz w:val="24"/>
        </w:rPr>
        <w:fldChar w:fldCharType="end"/>
      </w:r>
    </w:p>
    <w:p>
      <w:pPr>
        <w:pStyle w:val="23"/>
        <w:tabs>
          <w:tab w:val="right" w:leader="dot" w:pos="8306"/>
        </w:tabs>
        <w:spacing w:line="480" w:lineRule="exact"/>
        <w:rPr>
          <w:sz w:val="24"/>
        </w:rPr>
      </w:pPr>
      <w:r>
        <w:fldChar w:fldCharType="begin"/>
      </w:r>
      <w:r>
        <w:instrText xml:space="preserve"> HYPERLINK \l "_Toc14492" </w:instrText>
      </w:r>
      <w:r>
        <w:fldChar w:fldCharType="separate"/>
      </w:r>
      <w:r>
        <w:rPr>
          <w:rFonts w:hint="eastAsia" w:ascii="黑体" w:hAnsi="黑体" w:eastAsia="黑体" w:cs="黑体"/>
          <w:sz w:val="24"/>
        </w:rPr>
        <w:t>第六章 提升城市功能品质和综合承载力</w:t>
      </w:r>
      <w:r>
        <w:rPr>
          <w:sz w:val="24"/>
        </w:rPr>
        <w:tab/>
      </w:r>
      <w:r>
        <w:rPr>
          <w:sz w:val="24"/>
        </w:rPr>
        <w:fldChar w:fldCharType="begin"/>
      </w:r>
      <w:r>
        <w:rPr>
          <w:sz w:val="24"/>
        </w:rPr>
        <w:instrText xml:space="preserve"> PAGEREF _Toc14492 </w:instrText>
      </w:r>
      <w:r>
        <w:rPr>
          <w:sz w:val="24"/>
        </w:rPr>
        <w:fldChar w:fldCharType="separate"/>
      </w:r>
      <w:r>
        <w:rPr>
          <w:sz w:val="24"/>
        </w:rPr>
        <w:t>38</w:t>
      </w:r>
      <w:r>
        <w:rPr>
          <w:sz w:val="24"/>
        </w:rPr>
        <w:fldChar w:fldCharType="end"/>
      </w:r>
      <w:r>
        <w:rPr>
          <w:sz w:val="24"/>
        </w:rPr>
        <w:fldChar w:fldCharType="end"/>
      </w:r>
    </w:p>
    <w:p>
      <w:pPr>
        <w:pStyle w:val="13"/>
        <w:tabs>
          <w:tab w:val="right" w:leader="dot" w:pos="8306"/>
        </w:tabs>
        <w:spacing w:line="480" w:lineRule="exact"/>
        <w:rPr>
          <w:sz w:val="24"/>
        </w:rPr>
      </w:pPr>
      <w:r>
        <w:fldChar w:fldCharType="begin"/>
      </w:r>
      <w:r>
        <w:instrText xml:space="preserve"> HYPERLINK \l "_Toc25102" </w:instrText>
      </w:r>
      <w:r>
        <w:fldChar w:fldCharType="separate"/>
      </w:r>
      <w:r>
        <w:rPr>
          <w:rFonts w:hint="eastAsia" w:ascii="楷体" w:hAnsi="楷体" w:eastAsia="楷体" w:cs="楷体"/>
          <w:bCs/>
          <w:sz w:val="24"/>
        </w:rPr>
        <w:t>第一节 形成开放弹性有机紧凑的城市发展格局</w:t>
      </w:r>
      <w:r>
        <w:rPr>
          <w:sz w:val="24"/>
        </w:rPr>
        <w:tab/>
      </w:r>
      <w:r>
        <w:rPr>
          <w:sz w:val="24"/>
        </w:rPr>
        <w:fldChar w:fldCharType="begin"/>
      </w:r>
      <w:r>
        <w:rPr>
          <w:sz w:val="24"/>
        </w:rPr>
        <w:instrText xml:space="preserve"> PAGEREF _Toc25102 </w:instrText>
      </w:r>
      <w:r>
        <w:rPr>
          <w:sz w:val="24"/>
        </w:rPr>
        <w:fldChar w:fldCharType="separate"/>
      </w:r>
      <w:r>
        <w:rPr>
          <w:sz w:val="24"/>
        </w:rPr>
        <w:t>38</w:t>
      </w:r>
      <w:r>
        <w:rPr>
          <w:sz w:val="24"/>
        </w:rPr>
        <w:fldChar w:fldCharType="end"/>
      </w:r>
      <w:r>
        <w:rPr>
          <w:sz w:val="24"/>
        </w:rPr>
        <w:fldChar w:fldCharType="end"/>
      </w:r>
    </w:p>
    <w:p>
      <w:pPr>
        <w:pStyle w:val="13"/>
        <w:tabs>
          <w:tab w:val="right" w:leader="dot" w:pos="8306"/>
        </w:tabs>
        <w:spacing w:line="480" w:lineRule="exact"/>
        <w:rPr>
          <w:sz w:val="24"/>
        </w:rPr>
      </w:pPr>
      <w:r>
        <w:fldChar w:fldCharType="begin"/>
      </w:r>
      <w:r>
        <w:instrText xml:space="preserve"> HYPERLINK \l "_Toc358" </w:instrText>
      </w:r>
      <w:r>
        <w:fldChar w:fldCharType="separate"/>
      </w:r>
      <w:r>
        <w:rPr>
          <w:rFonts w:hint="eastAsia" w:ascii="楷体" w:hAnsi="楷体" w:eastAsia="楷体"/>
          <w:bCs/>
          <w:sz w:val="24"/>
        </w:rPr>
        <w:t>第二节 提升城市建设管理现代化水平</w:t>
      </w:r>
      <w:r>
        <w:rPr>
          <w:sz w:val="24"/>
        </w:rPr>
        <w:tab/>
      </w:r>
      <w:r>
        <w:rPr>
          <w:sz w:val="24"/>
        </w:rPr>
        <w:fldChar w:fldCharType="begin"/>
      </w:r>
      <w:r>
        <w:rPr>
          <w:sz w:val="24"/>
        </w:rPr>
        <w:instrText xml:space="preserve"> PAGEREF _Toc358 </w:instrText>
      </w:r>
      <w:r>
        <w:rPr>
          <w:sz w:val="24"/>
        </w:rPr>
        <w:fldChar w:fldCharType="separate"/>
      </w:r>
      <w:r>
        <w:rPr>
          <w:sz w:val="24"/>
        </w:rPr>
        <w:t>41</w:t>
      </w:r>
      <w:r>
        <w:rPr>
          <w:sz w:val="24"/>
        </w:rPr>
        <w:fldChar w:fldCharType="end"/>
      </w:r>
      <w:r>
        <w:rPr>
          <w:sz w:val="24"/>
        </w:rPr>
        <w:fldChar w:fldCharType="end"/>
      </w:r>
    </w:p>
    <w:p>
      <w:pPr>
        <w:pStyle w:val="13"/>
        <w:tabs>
          <w:tab w:val="right" w:leader="dot" w:pos="8306"/>
        </w:tabs>
        <w:spacing w:line="480" w:lineRule="exact"/>
        <w:rPr>
          <w:sz w:val="24"/>
        </w:rPr>
      </w:pPr>
      <w:r>
        <w:fldChar w:fldCharType="begin"/>
      </w:r>
      <w:r>
        <w:instrText xml:space="preserve"> HYPERLINK \l "_Toc18880" </w:instrText>
      </w:r>
      <w:r>
        <w:fldChar w:fldCharType="separate"/>
      </w:r>
      <w:r>
        <w:rPr>
          <w:rFonts w:hint="eastAsia" w:ascii="楷体" w:hAnsi="楷体" w:eastAsia="楷体" w:cs="楷体"/>
          <w:bCs/>
          <w:sz w:val="24"/>
        </w:rPr>
        <w:t>第三节 打造国际性综合交通枢纽</w:t>
      </w:r>
      <w:r>
        <w:rPr>
          <w:sz w:val="24"/>
        </w:rPr>
        <w:tab/>
      </w:r>
      <w:r>
        <w:rPr>
          <w:sz w:val="24"/>
        </w:rPr>
        <w:fldChar w:fldCharType="begin"/>
      </w:r>
      <w:r>
        <w:rPr>
          <w:sz w:val="24"/>
        </w:rPr>
        <w:instrText xml:space="preserve"> PAGEREF _Toc18880 </w:instrText>
      </w:r>
      <w:r>
        <w:rPr>
          <w:sz w:val="24"/>
        </w:rPr>
        <w:fldChar w:fldCharType="separate"/>
      </w:r>
      <w:r>
        <w:rPr>
          <w:sz w:val="24"/>
        </w:rPr>
        <w:t>42</w:t>
      </w:r>
      <w:r>
        <w:rPr>
          <w:sz w:val="24"/>
        </w:rPr>
        <w:fldChar w:fldCharType="end"/>
      </w:r>
      <w:r>
        <w:rPr>
          <w:sz w:val="24"/>
        </w:rPr>
        <w:fldChar w:fldCharType="end"/>
      </w:r>
    </w:p>
    <w:p>
      <w:pPr>
        <w:pStyle w:val="13"/>
        <w:tabs>
          <w:tab w:val="right" w:leader="dot" w:pos="8306"/>
        </w:tabs>
        <w:spacing w:line="480" w:lineRule="exact"/>
        <w:rPr>
          <w:sz w:val="24"/>
        </w:rPr>
      </w:pPr>
      <w:r>
        <w:fldChar w:fldCharType="begin"/>
      </w:r>
      <w:r>
        <w:instrText xml:space="preserve"> HYPERLINK \l "_Toc20800" </w:instrText>
      </w:r>
      <w:r>
        <w:fldChar w:fldCharType="separate"/>
      </w:r>
      <w:r>
        <w:rPr>
          <w:rFonts w:hint="eastAsia" w:ascii="楷体" w:hAnsi="楷体" w:eastAsia="楷体" w:cs="楷体"/>
          <w:bCs/>
          <w:sz w:val="24"/>
        </w:rPr>
        <w:t>第四节 加快建设全球海洋中心城市</w:t>
      </w:r>
      <w:r>
        <w:rPr>
          <w:sz w:val="24"/>
        </w:rPr>
        <w:tab/>
      </w:r>
      <w:r>
        <w:rPr>
          <w:sz w:val="24"/>
        </w:rPr>
        <w:fldChar w:fldCharType="begin"/>
      </w:r>
      <w:r>
        <w:rPr>
          <w:sz w:val="24"/>
        </w:rPr>
        <w:instrText xml:space="preserve"> PAGEREF _Toc20800 </w:instrText>
      </w:r>
      <w:r>
        <w:rPr>
          <w:sz w:val="24"/>
        </w:rPr>
        <w:fldChar w:fldCharType="separate"/>
      </w:r>
      <w:r>
        <w:rPr>
          <w:sz w:val="24"/>
        </w:rPr>
        <w:t>45</w:t>
      </w:r>
      <w:r>
        <w:rPr>
          <w:sz w:val="24"/>
        </w:rPr>
        <w:fldChar w:fldCharType="end"/>
      </w:r>
      <w:r>
        <w:rPr>
          <w:sz w:val="24"/>
        </w:rPr>
        <w:fldChar w:fldCharType="end"/>
      </w:r>
    </w:p>
    <w:p>
      <w:pPr>
        <w:pStyle w:val="19"/>
        <w:tabs>
          <w:tab w:val="right" w:leader="dot" w:pos="8306"/>
        </w:tabs>
        <w:spacing w:line="480" w:lineRule="exact"/>
        <w:rPr>
          <w:sz w:val="24"/>
        </w:rPr>
      </w:pPr>
      <w:r>
        <w:fldChar w:fldCharType="begin"/>
      </w:r>
      <w:r>
        <w:instrText xml:space="preserve"> HYPERLINK \l "_Toc24074" </w:instrText>
      </w:r>
      <w:r>
        <w:fldChar w:fldCharType="separate"/>
      </w:r>
      <w:r>
        <w:rPr>
          <w:rFonts w:hint="eastAsia" w:ascii="黑体" w:hAnsi="黑体" w:eastAsia="黑体" w:cs="黑体"/>
          <w:sz w:val="24"/>
        </w:rPr>
        <w:t>第四篇 率先建设体现高质量发展要求的现代化经济体系</w:t>
      </w:r>
      <w:r>
        <w:rPr>
          <w:sz w:val="24"/>
        </w:rPr>
        <w:tab/>
      </w:r>
      <w:r>
        <w:rPr>
          <w:sz w:val="24"/>
        </w:rPr>
        <w:fldChar w:fldCharType="begin"/>
      </w:r>
      <w:r>
        <w:rPr>
          <w:sz w:val="24"/>
        </w:rPr>
        <w:instrText xml:space="preserve"> PAGEREF _Toc24074 </w:instrText>
      </w:r>
      <w:r>
        <w:rPr>
          <w:sz w:val="24"/>
        </w:rPr>
        <w:fldChar w:fldCharType="separate"/>
      </w:r>
      <w:r>
        <w:rPr>
          <w:sz w:val="24"/>
        </w:rPr>
        <w:t>47</w:t>
      </w:r>
      <w:r>
        <w:rPr>
          <w:sz w:val="24"/>
        </w:rPr>
        <w:fldChar w:fldCharType="end"/>
      </w:r>
      <w:r>
        <w:rPr>
          <w:sz w:val="24"/>
        </w:rPr>
        <w:fldChar w:fldCharType="end"/>
      </w:r>
    </w:p>
    <w:p>
      <w:pPr>
        <w:pStyle w:val="23"/>
        <w:tabs>
          <w:tab w:val="right" w:leader="dot" w:pos="8306"/>
        </w:tabs>
        <w:spacing w:line="480" w:lineRule="exact"/>
        <w:rPr>
          <w:sz w:val="24"/>
        </w:rPr>
      </w:pPr>
      <w:r>
        <w:fldChar w:fldCharType="begin"/>
      </w:r>
      <w:r>
        <w:instrText xml:space="preserve"> HYPERLINK \l "_Toc16125" </w:instrText>
      </w:r>
      <w:r>
        <w:fldChar w:fldCharType="separate"/>
      </w:r>
      <w:r>
        <w:rPr>
          <w:rFonts w:hint="eastAsia" w:ascii="黑体" w:hAnsi="黑体" w:eastAsia="黑体" w:cs="黑体"/>
          <w:sz w:val="24"/>
        </w:rPr>
        <w:t>第七章 建设具有全球影响力的科技和产业创新高地</w:t>
      </w:r>
      <w:r>
        <w:rPr>
          <w:sz w:val="24"/>
        </w:rPr>
        <w:tab/>
      </w:r>
      <w:r>
        <w:rPr>
          <w:sz w:val="24"/>
        </w:rPr>
        <w:fldChar w:fldCharType="begin"/>
      </w:r>
      <w:r>
        <w:rPr>
          <w:sz w:val="24"/>
        </w:rPr>
        <w:instrText xml:space="preserve"> PAGEREF _Toc16125 </w:instrText>
      </w:r>
      <w:r>
        <w:rPr>
          <w:sz w:val="24"/>
        </w:rPr>
        <w:fldChar w:fldCharType="separate"/>
      </w:r>
      <w:r>
        <w:rPr>
          <w:sz w:val="24"/>
        </w:rPr>
        <w:t>47</w:t>
      </w:r>
      <w:r>
        <w:rPr>
          <w:sz w:val="24"/>
        </w:rPr>
        <w:fldChar w:fldCharType="end"/>
      </w:r>
      <w:r>
        <w:rPr>
          <w:sz w:val="24"/>
        </w:rPr>
        <w:fldChar w:fldCharType="end"/>
      </w:r>
    </w:p>
    <w:p>
      <w:pPr>
        <w:pStyle w:val="13"/>
        <w:tabs>
          <w:tab w:val="right" w:leader="dot" w:pos="8306"/>
        </w:tabs>
        <w:spacing w:line="480" w:lineRule="exact"/>
        <w:rPr>
          <w:sz w:val="24"/>
        </w:rPr>
      </w:pPr>
      <w:r>
        <w:fldChar w:fldCharType="begin"/>
      </w:r>
      <w:r>
        <w:instrText xml:space="preserve"> HYPERLINK \l "_Toc29345" </w:instrText>
      </w:r>
      <w:r>
        <w:fldChar w:fldCharType="separate"/>
      </w:r>
      <w:r>
        <w:rPr>
          <w:rFonts w:hint="eastAsia" w:ascii="楷体" w:hAnsi="楷体" w:eastAsia="楷体" w:cs="楷体"/>
          <w:bCs/>
          <w:sz w:val="24"/>
        </w:rPr>
        <w:t>第一节 共建大湾区综合性国家科学中心</w:t>
      </w:r>
      <w:r>
        <w:rPr>
          <w:sz w:val="24"/>
        </w:rPr>
        <w:tab/>
      </w:r>
      <w:r>
        <w:rPr>
          <w:sz w:val="24"/>
        </w:rPr>
        <w:fldChar w:fldCharType="begin"/>
      </w:r>
      <w:r>
        <w:rPr>
          <w:sz w:val="24"/>
        </w:rPr>
        <w:instrText xml:space="preserve"> PAGEREF _Toc29345 </w:instrText>
      </w:r>
      <w:r>
        <w:rPr>
          <w:sz w:val="24"/>
        </w:rPr>
        <w:fldChar w:fldCharType="separate"/>
      </w:r>
      <w:r>
        <w:rPr>
          <w:sz w:val="24"/>
        </w:rPr>
        <w:t>47</w:t>
      </w:r>
      <w:r>
        <w:rPr>
          <w:sz w:val="24"/>
        </w:rPr>
        <w:fldChar w:fldCharType="end"/>
      </w:r>
      <w:r>
        <w:rPr>
          <w:sz w:val="24"/>
        </w:rPr>
        <w:fldChar w:fldCharType="end"/>
      </w:r>
    </w:p>
    <w:p>
      <w:pPr>
        <w:pStyle w:val="13"/>
        <w:tabs>
          <w:tab w:val="right" w:leader="dot" w:pos="8306"/>
        </w:tabs>
        <w:spacing w:line="480" w:lineRule="exact"/>
        <w:rPr>
          <w:sz w:val="24"/>
        </w:rPr>
      </w:pPr>
      <w:r>
        <w:fldChar w:fldCharType="begin"/>
      </w:r>
      <w:r>
        <w:instrText xml:space="preserve"> HYPERLINK \l "_Toc20202" </w:instrText>
      </w:r>
      <w:r>
        <w:fldChar w:fldCharType="separate"/>
      </w:r>
      <w:r>
        <w:rPr>
          <w:rFonts w:hint="eastAsia" w:ascii="楷体" w:hAnsi="楷体" w:eastAsia="楷体" w:cs="楷体"/>
          <w:bCs/>
          <w:sz w:val="24"/>
        </w:rPr>
        <w:t>第二节 加强关键核心技术攻关</w:t>
      </w:r>
      <w:r>
        <w:rPr>
          <w:sz w:val="24"/>
        </w:rPr>
        <w:tab/>
      </w:r>
      <w:r>
        <w:rPr>
          <w:sz w:val="24"/>
        </w:rPr>
        <w:fldChar w:fldCharType="begin"/>
      </w:r>
      <w:r>
        <w:rPr>
          <w:sz w:val="24"/>
        </w:rPr>
        <w:instrText xml:space="preserve"> PAGEREF _Toc20202 </w:instrText>
      </w:r>
      <w:r>
        <w:rPr>
          <w:sz w:val="24"/>
        </w:rPr>
        <w:fldChar w:fldCharType="separate"/>
      </w:r>
      <w:r>
        <w:rPr>
          <w:sz w:val="24"/>
        </w:rPr>
        <w:t>49</w:t>
      </w:r>
      <w:r>
        <w:rPr>
          <w:sz w:val="24"/>
        </w:rPr>
        <w:fldChar w:fldCharType="end"/>
      </w:r>
      <w:r>
        <w:rPr>
          <w:sz w:val="24"/>
        </w:rPr>
        <w:fldChar w:fldCharType="end"/>
      </w:r>
    </w:p>
    <w:p>
      <w:pPr>
        <w:pStyle w:val="13"/>
        <w:tabs>
          <w:tab w:val="right" w:leader="dot" w:pos="8306"/>
        </w:tabs>
        <w:spacing w:line="480" w:lineRule="exact"/>
        <w:rPr>
          <w:sz w:val="24"/>
        </w:rPr>
      </w:pPr>
      <w:r>
        <w:fldChar w:fldCharType="begin"/>
      </w:r>
      <w:r>
        <w:instrText xml:space="preserve"> HYPERLINK \l "_Toc9317" </w:instrText>
      </w:r>
      <w:r>
        <w:fldChar w:fldCharType="separate"/>
      </w:r>
      <w:r>
        <w:rPr>
          <w:rFonts w:hint="eastAsia" w:ascii="楷体" w:hAnsi="楷体" w:eastAsia="楷体" w:cs="楷体"/>
          <w:bCs/>
          <w:sz w:val="24"/>
        </w:rPr>
        <w:t>第三节 深化科技供给侧结构性改革</w:t>
      </w:r>
      <w:r>
        <w:rPr>
          <w:sz w:val="24"/>
        </w:rPr>
        <w:tab/>
      </w:r>
      <w:r>
        <w:rPr>
          <w:sz w:val="24"/>
        </w:rPr>
        <w:fldChar w:fldCharType="begin"/>
      </w:r>
      <w:r>
        <w:rPr>
          <w:sz w:val="24"/>
        </w:rPr>
        <w:instrText xml:space="preserve"> PAGEREF _Toc9317 </w:instrText>
      </w:r>
      <w:r>
        <w:rPr>
          <w:sz w:val="24"/>
        </w:rPr>
        <w:fldChar w:fldCharType="separate"/>
      </w:r>
      <w:r>
        <w:rPr>
          <w:sz w:val="24"/>
        </w:rPr>
        <w:t>51</w:t>
      </w:r>
      <w:r>
        <w:rPr>
          <w:sz w:val="24"/>
        </w:rPr>
        <w:fldChar w:fldCharType="end"/>
      </w:r>
      <w:r>
        <w:rPr>
          <w:sz w:val="24"/>
        </w:rPr>
        <w:fldChar w:fldCharType="end"/>
      </w:r>
    </w:p>
    <w:p>
      <w:pPr>
        <w:pStyle w:val="13"/>
        <w:tabs>
          <w:tab w:val="right" w:leader="dot" w:pos="8306"/>
        </w:tabs>
        <w:spacing w:line="480" w:lineRule="exact"/>
        <w:rPr>
          <w:sz w:val="24"/>
        </w:rPr>
      </w:pPr>
      <w:r>
        <w:fldChar w:fldCharType="begin"/>
      </w:r>
      <w:r>
        <w:instrText xml:space="preserve"> HYPERLINK \l "_Toc13601" </w:instrText>
      </w:r>
      <w:r>
        <w:fldChar w:fldCharType="separate"/>
      </w:r>
      <w:r>
        <w:rPr>
          <w:rFonts w:hint="eastAsia" w:ascii="楷体" w:hAnsi="楷体" w:eastAsia="楷体" w:cs="楷体"/>
          <w:bCs/>
          <w:sz w:val="24"/>
        </w:rPr>
        <w:t>第四节 提升科技创新开放协同水平</w:t>
      </w:r>
      <w:r>
        <w:rPr>
          <w:sz w:val="24"/>
        </w:rPr>
        <w:tab/>
      </w:r>
      <w:r>
        <w:rPr>
          <w:sz w:val="24"/>
        </w:rPr>
        <w:fldChar w:fldCharType="begin"/>
      </w:r>
      <w:r>
        <w:rPr>
          <w:sz w:val="24"/>
        </w:rPr>
        <w:instrText xml:space="preserve"> PAGEREF _Toc13601 </w:instrText>
      </w:r>
      <w:r>
        <w:rPr>
          <w:sz w:val="24"/>
        </w:rPr>
        <w:fldChar w:fldCharType="separate"/>
      </w:r>
      <w:r>
        <w:rPr>
          <w:sz w:val="24"/>
        </w:rPr>
        <w:t>52</w:t>
      </w:r>
      <w:r>
        <w:rPr>
          <w:sz w:val="24"/>
        </w:rPr>
        <w:fldChar w:fldCharType="end"/>
      </w:r>
      <w:r>
        <w:rPr>
          <w:sz w:val="24"/>
        </w:rPr>
        <w:fldChar w:fldCharType="end"/>
      </w:r>
    </w:p>
    <w:p>
      <w:pPr>
        <w:pStyle w:val="13"/>
        <w:tabs>
          <w:tab w:val="right" w:leader="dot" w:pos="8306"/>
        </w:tabs>
        <w:spacing w:line="480" w:lineRule="exact"/>
        <w:rPr>
          <w:sz w:val="24"/>
        </w:rPr>
      </w:pPr>
      <w:r>
        <w:fldChar w:fldCharType="begin"/>
      </w:r>
      <w:r>
        <w:instrText xml:space="preserve"> HYPERLINK \l "_Toc7892" </w:instrText>
      </w:r>
      <w:r>
        <w:fldChar w:fldCharType="separate"/>
      </w:r>
      <w:r>
        <w:rPr>
          <w:rFonts w:hint="eastAsia" w:ascii="楷体" w:hAnsi="楷体" w:eastAsia="楷体" w:cs="楷体"/>
          <w:bCs/>
          <w:sz w:val="24"/>
        </w:rPr>
        <w:t>第五节 建设开放包容先行的国际人才高地</w:t>
      </w:r>
      <w:r>
        <w:rPr>
          <w:sz w:val="24"/>
        </w:rPr>
        <w:tab/>
      </w:r>
      <w:r>
        <w:rPr>
          <w:sz w:val="24"/>
        </w:rPr>
        <w:fldChar w:fldCharType="begin"/>
      </w:r>
      <w:r>
        <w:rPr>
          <w:sz w:val="24"/>
        </w:rPr>
        <w:instrText xml:space="preserve"> PAGEREF _Toc7892 </w:instrText>
      </w:r>
      <w:r>
        <w:rPr>
          <w:sz w:val="24"/>
        </w:rPr>
        <w:fldChar w:fldCharType="separate"/>
      </w:r>
      <w:r>
        <w:rPr>
          <w:sz w:val="24"/>
        </w:rPr>
        <w:t>53</w:t>
      </w:r>
      <w:r>
        <w:rPr>
          <w:sz w:val="24"/>
        </w:rPr>
        <w:fldChar w:fldCharType="end"/>
      </w:r>
      <w:r>
        <w:rPr>
          <w:sz w:val="24"/>
        </w:rPr>
        <w:fldChar w:fldCharType="end"/>
      </w:r>
    </w:p>
    <w:p>
      <w:pPr>
        <w:pStyle w:val="23"/>
        <w:tabs>
          <w:tab w:val="right" w:leader="dot" w:pos="8306"/>
        </w:tabs>
        <w:spacing w:line="480" w:lineRule="exact"/>
        <w:rPr>
          <w:sz w:val="24"/>
        </w:rPr>
      </w:pPr>
      <w:r>
        <w:fldChar w:fldCharType="begin"/>
      </w:r>
      <w:r>
        <w:instrText xml:space="preserve"> HYPERLINK \l "_Toc24498" </w:instrText>
      </w:r>
      <w:r>
        <w:fldChar w:fldCharType="separate"/>
      </w:r>
      <w:r>
        <w:rPr>
          <w:rFonts w:hint="eastAsia" w:ascii="黑体" w:hAnsi="黑体" w:eastAsia="黑体" w:cs="黑体"/>
          <w:sz w:val="24"/>
        </w:rPr>
        <w:t>第八章 构建高端高质高新的现代产业体系</w:t>
      </w:r>
      <w:r>
        <w:rPr>
          <w:sz w:val="24"/>
        </w:rPr>
        <w:tab/>
      </w:r>
      <w:r>
        <w:rPr>
          <w:sz w:val="24"/>
        </w:rPr>
        <w:fldChar w:fldCharType="begin"/>
      </w:r>
      <w:r>
        <w:rPr>
          <w:sz w:val="24"/>
        </w:rPr>
        <w:instrText xml:space="preserve"> PAGEREF _Toc24498 </w:instrText>
      </w:r>
      <w:r>
        <w:rPr>
          <w:sz w:val="24"/>
        </w:rPr>
        <w:fldChar w:fldCharType="separate"/>
      </w:r>
      <w:r>
        <w:rPr>
          <w:sz w:val="24"/>
        </w:rPr>
        <w:t>55</w:t>
      </w:r>
      <w:r>
        <w:rPr>
          <w:sz w:val="24"/>
        </w:rPr>
        <w:fldChar w:fldCharType="end"/>
      </w:r>
      <w:r>
        <w:rPr>
          <w:sz w:val="24"/>
        </w:rPr>
        <w:fldChar w:fldCharType="end"/>
      </w:r>
    </w:p>
    <w:p>
      <w:pPr>
        <w:pStyle w:val="13"/>
        <w:tabs>
          <w:tab w:val="right" w:leader="dot" w:pos="8306"/>
        </w:tabs>
        <w:spacing w:line="480" w:lineRule="exact"/>
        <w:rPr>
          <w:sz w:val="24"/>
        </w:rPr>
      </w:pPr>
      <w:r>
        <w:fldChar w:fldCharType="begin"/>
      </w:r>
      <w:r>
        <w:instrText xml:space="preserve"> HYPERLINK \l "_Toc28198" </w:instrText>
      </w:r>
      <w:r>
        <w:fldChar w:fldCharType="separate"/>
      </w:r>
      <w:r>
        <w:rPr>
          <w:rFonts w:hint="eastAsia" w:ascii="楷体" w:hAnsi="楷体" w:eastAsia="楷体" w:cs="楷体"/>
          <w:bCs/>
          <w:sz w:val="24"/>
        </w:rPr>
        <w:t>第一节 推进产业基础高级化和产业链现代化</w:t>
      </w:r>
      <w:r>
        <w:rPr>
          <w:sz w:val="24"/>
        </w:rPr>
        <w:tab/>
      </w:r>
      <w:r>
        <w:rPr>
          <w:sz w:val="24"/>
        </w:rPr>
        <w:fldChar w:fldCharType="begin"/>
      </w:r>
      <w:r>
        <w:rPr>
          <w:sz w:val="24"/>
        </w:rPr>
        <w:instrText xml:space="preserve"> PAGEREF _Toc28198 </w:instrText>
      </w:r>
      <w:r>
        <w:rPr>
          <w:sz w:val="24"/>
        </w:rPr>
        <w:fldChar w:fldCharType="separate"/>
      </w:r>
      <w:r>
        <w:rPr>
          <w:sz w:val="24"/>
        </w:rPr>
        <w:t>55</w:t>
      </w:r>
      <w:r>
        <w:rPr>
          <w:sz w:val="24"/>
        </w:rPr>
        <w:fldChar w:fldCharType="end"/>
      </w:r>
      <w:r>
        <w:rPr>
          <w:sz w:val="24"/>
        </w:rPr>
        <w:fldChar w:fldCharType="end"/>
      </w:r>
    </w:p>
    <w:p>
      <w:pPr>
        <w:pStyle w:val="13"/>
        <w:tabs>
          <w:tab w:val="right" w:leader="dot" w:pos="8306"/>
        </w:tabs>
        <w:spacing w:line="480" w:lineRule="exact"/>
        <w:rPr>
          <w:sz w:val="24"/>
        </w:rPr>
      </w:pPr>
      <w:r>
        <w:fldChar w:fldCharType="begin"/>
      </w:r>
      <w:r>
        <w:instrText xml:space="preserve"> HYPERLINK \l "_Toc11984" </w:instrText>
      </w:r>
      <w:r>
        <w:fldChar w:fldCharType="separate"/>
      </w:r>
      <w:r>
        <w:rPr>
          <w:rFonts w:hint="eastAsia" w:ascii="楷体" w:hAnsi="楷体" w:eastAsia="楷体" w:cs="楷体"/>
          <w:bCs/>
          <w:sz w:val="24"/>
        </w:rPr>
        <w:t>第二节 加快发展战略性新兴产业</w:t>
      </w:r>
      <w:r>
        <w:rPr>
          <w:sz w:val="24"/>
        </w:rPr>
        <w:tab/>
      </w:r>
      <w:r>
        <w:rPr>
          <w:sz w:val="24"/>
        </w:rPr>
        <w:fldChar w:fldCharType="begin"/>
      </w:r>
      <w:r>
        <w:rPr>
          <w:sz w:val="24"/>
        </w:rPr>
        <w:instrText xml:space="preserve"> PAGEREF _Toc11984 </w:instrText>
      </w:r>
      <w:r>
        <w:rPr>
          <w:sz w:val="24"/>
        </w:rPr>
        <w:fldChar w:fldCharType="separate"/>
      </w:r>
      <w:r>
        <w:rPr>
          <w:sz w:val="24"/>
        </w:rPr>
        <w:t>56</w:t>
      </w:r>
      <w:r>
        <w:rPr>
          <w:sz w:val="24"/>
        </w:rPr>
        <w:fldChar w:fldCharType="end"/>
      </w:r>
      <w:r>
        <w:rPr>
          <w:sz w:val="24"/>
        </w:rPr>
        <w:fldChar w:fldCharType="end"/>
      </w:r>
    </w:p>
    <w:p>
      <w:pPr>
        <w:pStyle w:val="13"/>
        <w:tabs>
          <w:tab w:val="right" w:leader="dot" w:pos="8306"/>
        </w:tabs>
        <w:spacing w:line="480" w:lineRule="exact"/>
        <w:rPr>
          <w:sz w:val="24"/>
        </w:rPr>
      </w:pPr>
      <w:r>
        <w:fldChar w:fldCharType="begin"/>
      </w:r>
      <w:r>
        <w:instrText xml:space="preserve"> HYPERLINK \l "_Toc19250" </w:instrText>
      </w:r>
      <w:r>
        <w:fldChar w:fldCharType="separate"/>
      </w:r>
      <w:r>
        <w:rPr>
          <w:rFonts w:hint="eastAsia" w:ascii="楷体" w:hAnsi="楷体" w:eastAsia="楷体" w:cs="楷体"/>
          <w:bCs/>
          <w:sz w:val="24"/>
        </w:rPr>
        <w:t>第三节 构建未来产业策源地</w:t>
      </w:r>
      <w:r>
        <w:rPr>
          <w:sz w:val="24"/>
        </w:rPr>
        <w:tab/>
      </w:r>
      <w:r>
        <w:rPr>
          <w:sz w:val="24"/>
        </w:rPr>
        <w:fldChar w:fldCharType="begin"/>
      </w:r>
      <w:r>
        <w:rPr>
          <w:sz w:val="24"/>
        </w:rPr>
        <w:instrText xml:space="preserve"> PAGEREF _Toc19250 </w:instrText>
      </w:r>
      <w:r>
        <w:rPr>
          <w:sz w:val="24"/>
        </w:rPr>
        <w:fldChar w:fldCharType="separate"/>
      </w:r>
      <w:r>
        <w:rPr>
          <w:sz w:val="24"/>
        </w:rPr>
        <w:t>59</w:t>
      </w:r>
      <w:r>
        <w:rPr>
          <w:sz w:val="24"/>
        </w:rPr>
        <w:fldChar w:fldCharType="end"/>
      </w:r>
      <w:r>
        <w:rPr>
          <w:sz w:val="24"/>
        </w:rPr>
        <w:fldChar w:fldCharType="end"/>
      </w:r>
    </w:p>
    <w:p>
      <w:pPr>
        <w:pStyle w:val="13"/>
        <w:tabs>
          <w:tab w:val="right" w:leader="dot" w:pos="8306"/>
        </w:tabs>
        <w:spacing w:line="480" w:lineRule="exact"/>
        <w:rPr>
          <w:sz w:val="24"/>
        </w:rPr>
      </w:pPr>
      <w:r>
        <w:fldChar w:fldCharType="begin"/>
      </w:r>
      <w:r>
        <w:instrText xml:space="preserve"> HYPERLINK \l "_Toc13215" </w:instrText>
      </w:r>
      <w:r>
        <w:fldChar w:fldCharType="separate"/>
      </w:r>
      <w:r>
        <w:rPr>
          <w:rFonts w:hint="eastAsia" w:ascii="楷体" w:hAnsi="楷体" w:eastAsia="楷体" w:cs="楷体"/>
          <w:bCs/>
          <w:sz w:val="24"/>
        </w:rPr>
        <w:t>第四节 建设全球金融创新中心</w:t>
      </w:r>
      <w:r>
        <w:rPr>
          <w:sz w:val="24"/>
        </w:rPr>
        <w:tab/>
      </w:r>
      <w:r>
        <w:rPr>
          <w:sz w:val="24"/>
        </w:rPr>
        <w:fldChar w:fldCharType="begin"/>
      </w:r>
      <w:r>
        <w:rPr>
          <w:sz w:val="24"/>
        </w:rPr>
        <w:instrText xml:space="preserve"> PAGEREF _Toc13215 </w:instrText>
      </w:r>
      <w:r>
        <w:rPr>
          <w:sz w:val="24"/>
        </w:rPr>
        <w:fldChar w:fldCharType="separate"/>
      </w:r>
      <w:r>
        <w:rPr>
          <w:sz w:val="24"/>
        </w:rPr>
        <w:t>60</w:t>
      </w:r>
      <w:r>
        <w:rPr>
          <w:sz w:val="24"/>
        </w:rPr>
        <w:fldChar w:fldCharType="end"/>
      </w:r>
      <w:r>
        <w:rPr>
          <w:sz w:val="24"/>
        </w:rPr>
        <w:fldChar w:fldCharType="end"/>
      </w:r>
    </w:p>
    <w:p>
      <w:pPr>
        <w:pStyle w:val="13"/>
        <w:tabs>
          <w:tab w:val="right" w:leader="dot" w:pos="8306"/>
        </w:tabs>
        <w:spacing w:line="480" w:lineRule="exact"/>
        <w:rPr>
          <w:sz w:val="24"/>
        </w:rPr>
      </w:pPr>
      <w:r>
        <w:fldChar w:fldCharType="begin"/>
      </w:r>
      <w:r>
        <w:instrText xml:space="preserve"> HYPERLINK \l "_Toc30602" </w:instrText>
      </w:r>
      <w:r>
        <w:fldChar w:fldCharType="separate"/>
      </w:r>
      <w:r>
        <w:rPr>
          <w:rFonts w:hint="eastAsia" w:ascii="楷体" w:hAnsi="楷体" w:eastAsia="楷体" w:cs="楷体"/>
          <w:bCs/>
          <w:sz w:val="24"/>
        </w:rPr>
        <w:t>第五节 打造全球服务经济中心城市</w:t>
      </w:r>
      <w:r>
        <w:rPr>
          <w:sz w:val="24"/>
        </w:rPr>
        <w:tab/>
      </w:r>
      <w:r>
        <w:rPr>
          <w:sz w:val="24"/>
        </w:rPr>
        <w:fldChar w:fldCharType="begin"/>
      </w:r>
      <w:r>
        <w:rPr>
          <w:sz w:val="24"/>
        </w:rPr>
        <w:instrText xml:space="preserve"> PAGEREF _Toc30602 </w:instrText>
      </w:r>
      <w:r>
        <w:rPr>
          <w:sz w:val="24"/>
        </w:rPr>
        <w:fldChar w:fldCharType="separate"/>
      </w:r>
      <w:r>
        <w:rPr>
          <w:sz w:val="24"/>
        </w:rPr>
        <w:t>61</w:t>
      </w:r>
      <w:r>
        <w:rPr>
          <w:sz w:val="24"/>
        </w:rPr>
        <w:fldChar w:fldCharType="end"/>
      </w:r>
      <w:r>
        <w:rPr>
          <w:sz w:val="24"/>
        </w:rPr>
        <w:fldChar w:fldCharType="end"/>
      </w:r>
    </w:p>
    <w:p>
      <w:pPr>
        <w:pStyle w:val="23"/>
        <w:tabs>
          <w:tab w:val="right" w:leader="dot" w:pos="8306"/>
        </w:tabs>
        <w:spacing w:line="480" w:lineRule="exact"/>
        <w:rPr>
          <w:sz w:val="24"/>
        </w:rPr>
      </w:pPr>
      <w:r>
        <w:fldChar w:fldCharType="begin"/>
      </w:r>
      <w:r>
        <w:instrText xml:space="preserve"> HYPERLINK \l "_Toc21093" </w:instrText>
      </w:r>
      <w:r>
        <w:fldChar w:fldCharType="separate"/>
      </w:r>
      <w:r>
        <w:rPr>
          <w:rFonts w:hint="eastAsia" w:ascii="黑体" w:hAnsi="黑体" w:eastAsia="黑体" w:cs="黑体"/>
          <w:sz w:val="24"/>
        </w:rPr>
        <w:t>第九章 打造全球数字先锋城市</w:t>
      </w:r>
      <w:r>
        <w:rPr>
          <w:sz w:val="24"/>
        </w:rPr>
        <w:tab/>
      </w:r>
      <w:r>
        <w:rPr>
          <w:sz w:val="24"/>
        </w:rPr>
        <w:fldChar w:fldCharType="begin"/>
      </w:r>
      <w:r>
        <w:rPr>
          <w:sz w:val="24"/>
        </w:rPr>
        <w:instrText xml:space="preserve"> PAGEREF _Toc21093 </w:instrText>
      </w:r>
      <w:r>
        <w:rPr>
          <w:sz w:val="24"/>
        </w:rPr>
        <w:fldChar w:fldCharType="separate"/>
      </w:r>
      <w:r>
        <w:rPr>
          <w:sz w:val="24"/>
        </w:rPr>
        <w:t>63</w:t>
      </w:r>
      <w:r>
        <w:rPr>
          <w:sz w:val="24"/>
        </w:rPr>
        <w:fldChar w:fldCharType="end"/>
      </w:r>
      <w:r>
        <w:rPr>
          <w:sz w:val="24"/>
        </w:rPr>
        <w:fldChar w:fldCharType="end"/>
      </w:r>
    </w:p>
    <w:p>
      <w:pPr>
        <w:pStyle w:val="13"/>
        <w:tabs>
          <w:tab w:val="right" w:leader="dot" w:pos="8306"/>
        </w:tabs>
        <w:spacing w:line="480" w:lineRule="exact"/>
        <w:rPr>
          <w:sz w:val="24"/>
        </w:rPr>
      </w:pPr>
      <w:r>
        <w:fldChar w:fldCharType="begin"/>
      </w:r>
      <w:r>
        <w:instrText xml:space="preserve"> HYPERLINK \l "_Toc13170" </w:instrText>
      </w:r>
      <w:r>
        <w:fldChar w:fldCharType="separate"/>
      </w:r>
      <w:r>
        <w:rPr>
          <w:rFonts w:hint="eastAsia" w:ascii="楷体" w:hAnsi="楷体" w:eastAsia="楷体" w:cs="楷体"/>
          <w:bCs/>
          <w:sz w:val="24"/>
        </w:rPr>
        <w:t>第一节 构建数字经济新优势</w:t>
      </w:r>
      <w:r>
        <w:rPr>
          <w:sz w:val="24"/>
        </w:rPr>
        <w:tab/>
      </w:r>
      <w:r>
        <w:rPr>
          <w:sz w:val="24"/>
        </w:rPr>
        <w:fldChar w:fldCharType="begin"/>
      </w:r>
      <w:r>
        <w:rPr>
          <w:sz w:val="24"/>
        </w:rPr>
        <w:instrText xml:space="preserve"> PAGEREF _Toc13170 </w:instrText>
      </w:r>
      <w:r>
        <w:rPr>
          <w:sz w:val="24"/>
        </w:rPr>
        <w:fldChar w:fldCharType="separate"/>
      </w:r>
      <w:r>
        <w:rPr>
          <w:sz w:val="24"/>
        </w:rPr>
        <w:t>63</w:t>
      </w:r>
      <w:r>
        <w:rPr>
          <w:sz w:val="24"/>
        </w:rPr>
        <w:fldChar w:fldCharType="end"/>
      </w:r>
      <w:r>
        <w:rPr>
          <w:sz w:val="24"/>
        </w:rPr>
        <w:fldChar w:fldCharType="end"/>
      </w:r>
    </w:p>
    <w:p>
      <w:pPr>
        <w:pStyle w:val="13"/>
        <w:tabs>
          <w:tab w:val="right" w:leader="dot" w:pos="8306"/>
        </w:tabs>
        <w:spacing w:line="480" w:lineRule="exact"/>
        <w:rPr>
          <w:sz w:val="24"/>
        </w:rPr>
      </w:pPr>
      <w:r>
        <w:fldChar w:fldCharType="begin"/>
      </w:r>
      <w:r>
        <w:instrText xml:space="preserve"> HYPERLINK \l "_Toc25763" </w:instrText>
      </w:r>
      <w:r>
        <w:fldChar w:fldCharType="separate"/>
      </w:r>
      <w:r>
        <w:rPr>
          <w:rFonts w:hint="eastAsia" w:ascii="楷体" w:hAnsi="楷体" w:eastAsia="楷体" w:cs="楷体"/>
          <w:bCs/>
          <w:sz w:val="24"/>
        </w:rPr>
        <w:t>第二节 建设全球领先的数字基建</w:t>
      </w:r>
      <w:r>
        <w:rPr>
          <w:sz w:val="24"/>
        </w:rPr>
        <w:tab/>
      </w:r>
      <w:r>
        <w:rPr>
          <w:sz w:val="24"/>
        </w:rPr>
        <w:fldChar w:fldCharType="begin"/>
      </w:r>
      <w:r>
        <w:rPr>
          <w:sz w:val="24"/>
        </w:rPr>
        <w:instrText xml:space="preserve"> PAGEREF _Toc25763 </w:instrText>
      </w:r>
      <w:r>
        <w:rPr>
          <w:sz w:val="24"/>
        </w:rPr>
        <w:fldChar w:fldCharType="separate"/>
      </w:r>
      <w:r>
        <w:rPr>
          <w:sz w:val="24"/>
        </w:rPr>
        <w:t>65</w:t>
      </w:r>
      <w:r>
        <w:rPr>
          <w:sz w:val="24"/>
        </w:rPr>
        <w:fldChar w:fldCharType="end"/>
      </w:r>
      <w:r>
        <w:rPr>
          <w:sz w:val="24"/>
        </w:rPr>
        <w:fldChar w:fldCharType="end"/>
      </w:r>
    </w:p>
    <w:p>
      <w:pPr>
        <w:pStyle w:val="13"/>
        <w:tabs>
          <w:tab w:val="right" w:leader="dot" w:pos="8306"/>
        </w:tabs>
        <w:spacing w:line="480" w:lineRule="exact"/>
        <w:rPr>
          <w:sz w:val="24"/>
        </w:rPr>
      </w:pPr>
      <w:r>
        <w:fldChar w:fldCharType="begin"/>
      </w:r>
      <w:r>
        <w:instrText xml:space="preserve"> HYPERLINK \l "_Toc948" </w:instrText>
      </w:r>
      <w:r>
        <w:fldChar w:fldCharType="separate"/>
      </w:r>
      <w:r>
        <w:rPr>
          <w:rFonts w:hint="eastAsia" w:ascii="楷体" w:hAnsi="楷体" w:eastAsia="楷体" w:cs="楷体"/>
          <w:bCs/>
          <w:sz w:val="24"/>
        </w:rPr>
        <w:t>第三节 加快建设数字政府和新型智慧城市</w:t>
      </w:r>
      <w:r>
        <w:rPr>
          <w:sz w:val="24"/>
        </w:rPr>
        <w:tab/>
      </w:r>
      <w:r>
        <w:rPr>
          <w:sz w:val="24"/>
        </w:rPr>
        <w:fldChar w:fldCharType="begin"/>
      </w:r>
      <w:r>
        <w:rPr>
          <w:sz w:val="24"/>
        </w:rPr>
        <w:instrText xml:space="preserve"> PAGEREF _Toc948 </w:instrText>
      </w:r>
      <w:r>
        <w:rPr>
          <w:sz w:val="24"/>
        </w:rPr>
        <w:fldChar w:fldCharType="separate"/>
      </w:r>
      <w:r>
        <w:rPr>
          <w:sz w:val="24"/>
        </w:rPr>
        <w:t>66</w:t>
      </w:r>
      <w:r>
        <w:rPr>
          <w:sz w:val="24"/>
        </w:rPr>
        <w:fldChar w:fldCharType="end"/>
      </w:r>
      <w:r>
        <w:rPr>
          <w:sz w:val="24"/>
        </w:rPr>
        <w:fldChar w:fldCharType="end"/>
      </w:r>
    </w:p>
    <w:p>
      <w:pPr>
        <w:pStyle w:val="13"/>
        <w:tabs>
          <w:tab w:val="right" w:leader="dot" w:pos="8306"/>
        </w:tabs>
        <w:spacing w:line="480" w:lineRule="exact"/>
        <w:rPr>
          <w:sz w:val="24"/>
        </w:rPr>
      </w:pPr>
      <w:r>
        <w:fldChar w:fldCharType="begin"/>
      </w:r>
      <w:r>
        <w:instrText xml:space="preserve"> HYPERLINK \l "_Toc2467" </w:instrText>
      </w:r>
      <w:r>
        <w:fldChar w:fldCharType="separate"/>
      </w:r>
      <w:r>
        <w:rPr>
          <w:rFonts w:hint="eastAsia" w:ascii="楷体" w:hAnsi="楷体" w:eastAsia="楷体" w:cs="楷体"/>
          <w:bCs/>
          <w:sz w:val="24"/>
        </w:rPr>
        <w:t>第四节 营造开放健康安全的数字生态</w:t>
      </w:r>
      <w:r>
        <w:rPr>
          <w:sz w:val="24"/>
        </w:rPr>
        <w:tab/>
      </w:r>
      <w:r>
        <w:rPr>
          <w:sz w:val="24"/>
        </w:rPr>
        <w:fldChar w:fldCharType="begin"/>
      </w:r>
      <w:r>
        <w:rPr>
          <w:sz w:val="24"/>
        </w:rPr>
        <w:instrText xml:space="preserve"> PAGEREF _Toc2467 </w:instrText>
      </w:r>
      <w:r>
        <w:rPr>
          <w:sz w:val="24"/>
        </w:rPr>
        <w:fldChar w:fldCharType="separate"/>
      </w:r>
      <w:r>
        <w:rPr>
          <w:sz w:val="24"/>
        </w:rPr>
        <w:t>67</w:t>
      </w:r>
      <w:r>
        <w:rPr>
          <w:sz w:val="24"/>
        </w:rPr>
        <w:fldChar w:fldCharType="end"/>
      </w:r>
      <w:r>
        <w:rPr>
          <w:sz w:val="24"/>
        </w:rPr>
        <w:fldChar w:fldCharType="end"/>
      </w:r>
    </w:p>
    <w:p>
      <w:pPr>
        <w:pStyle w:val="19"/>
        <w:tabs>
          <w:tab w:val="right" w:leader="dot" w:pos="8306"/>
        </w:tabs>
        <w:spacing w:line="480" w:lineRule="exact"/>
        <w:rPr>
          <w:sz w:val="24"/>
        </w:rPr>
      </w:pPr>
      <w:r>
        <w:fldChar w:fldCharType="begin"/>
      </w:r>
      <w:r>
        <w:instrText xml:space="preserve"> HYPERLINK \l "_Toc22854" </w:instrText>
      </w:r>
      <w:r>
        <w:fldChar w:fldCharType="separate"/>
      </w:r>
      <w:r>
        <w:rPr>
          <w:rFonts w:hint="eastAsia" w:ascii="黑体" w:hAnsi="黑体" w:eastAsia="黑体" w:cs="黑体"/>
          <w:sz w:val="24"/>
        </w:rPr>
        <w:t>第五篇 率先塑造展现社会主义文化繁荣兴盛的现代城市文明</w:t>
      </w:r>
      <w:r>
        <w:rPr>
          <w:sz w:val="24"/>
        </w:rPr>
        <w:tab/>
      </w:r>
      <w:r>
        <w:rPr>
          <w:sz w:val="24"/>
        </w:rPr>
        <w:fldChar w:fldCharType="begin"/>
      </w:r>
      <w:r>
        <w:rPr>
          <w:sz w:val="24"/>
        </w:rPr>
        <w:instrText xml:space="preserve"> PAGEREF _Toc22854 </w:instrText>
      </w:r>
      <w:r>
        <w:rPr>
          <w:sz w:val="24"/>
        </w:rPr>
        <w:fldChar w:fldCharType="separate"/>
      </w:r>
      <w:r>
        <w:rPr>
          <w:sz w:val="24"/>
        </w:rPr>
        <w:t>69</w:t>
      </w:r>
      <w:r>
        <w:rPr>
          <w:sz w:val="24"/>
        </w:rPr>
        <w:fldChar w:fldCharType="end"/>
      </w:r>
      <w:r>
        <w:rPr>
          <w:sz w:val="24"/>
        </w:rPr>
        <w:fldChar w:fldCharType="end"/>
      </w:r>
    </w:p>
    <w:p>
      <w:pPr>
        <w:pStyle w:val="23"/>
        <w:tabs>
          <w:tab w:val="right" w:leader="dot" w:pos="8306"/>
        </w:tabs>
        <w:spacing w:line="480" w:lineRule="exact"/>
        <w:rPr>
          <w:sz w:val="24"/>
        </w:rPr>
      </w:pPr>
      <w:r>
        <w:fldChar w:fldCharType="begin"/>
      </w:r>
      <w:r>
        <w:instrText xml:space="preserve"> HYPERLINK \l "_Toc11350" </w:instrText>
      </w:r>
      <w:r>
        <w:fldChar w:fldCharType="separate"/>
      </w:r>
      <w:r>
        <w:rPr>
          <w:rFonts w:hint="eastAsia" w:ascii="黑体" w:hAnsi="黑体" w:eastAsia="黑体" w:cs="黑体"/>
          <w:sz w:val="24"/>
        </w:rPr>
        <w:t>第十章 建设彰显国家文化软实力的现代文明之城</w:t>
      </w:r>
      <w:r>
        <w:rPr>
          <w:sz w:val="24"/>
        </w:rPr>
        <w:tab/>
      </w:r>
      <w:r>
        <w:rPr>
          <w:sz w:val="24"/>
        </w:rPr>
        <w:fldChar w:fldCharType="begin"/>
      </w:r>
      <w:r>
        <w:rPr>
          <w:sz w:val="24"/>
        </w:rPr>
        <w:instrText xml:space="preserve"> PAGEREF _Toc11350 </w:instrText>
      </w:r>
      <w:r>
        <w:rPr>
          <w:sz w:val="24"/>
        </w:rPr>
        <w:fldChar w:fldCharType="separate"/>
      </w:r>
      <w:r>
        <w:rPr>
          <w:sz w:val="24"/>
        </w:rPr>
        <w:t>69</w:t>
      </w:r>
      <w:r>
        <w:rPr>
          <w:sz w:val="24"/>
        </w:rPr>
        <w:fldChar w:fldCharType="end"/>
      </w:r>
      <w:r>
        <w:rPr>
          <w:sz w:val="24"/>
        </w:rPr>
        <w:fldChar w:fldCharType="end"/>
      </w:r>
    </w:p>
    <w:p>
      <w:pPr>
        <w:pStyle w:val="13"/>
        <w:tabs>
          <w:tab w:val="right" w:leader="dot" w:pos="8306"/>
        </w:tabs>
        <w:spacing w:line="480" w:lineRule="exact"/>
        <w:rPr>
          <w:sz w:val="24"/>
        </w:rPr>
      </w:pPr>
      <w:r>
        <w:fldChar w:fldCharType="begin"/>
      </w:r>
      <w:r>
        <w:instrText xml:space="preserve"> HYPERLINK \l "_Toc10412" </w:instrText>
      </w:r>
      <w:r>
        <w:fldChar w:fldCharType="separate"/>
      </w:r>
      <w:r>
        <w:rPr>
          <w:rFonts w:hint="eastAsia" w:ascii="楷体" w:hAnsi="楷体" w:eastAsia="楷体" w:cs="楷体"/>
          <w:bCs/>
          <w:sz w:val="24"/>
        </w:rPr>
        <w:t>第一节 全面推进城市精神文明建设</w:t>
      </w:r>
      <w:r>
        <w:rPr>
          <w:sz w:val="24"/>
        </w:rPr>
        <w:tab/>
      </w:r>
      <w:r>
        <w:rPr>
          <w:sz w:val="24"/>
        </w:rPr>
        <w:fldChar w:fldCharType="begin"/>
      </w:r>
      <w:r>
        <w:rPr>
          <w:sz w:val="24"/>
        </w:rPr>
        <w:instrText xml:space="preserve"> PAGEREF _Toc10412 </w:instrText>
      </w:r>
      <w:r>
        <w:rPr>
          <w:sz w:val="24"/>
        </w:rPr>
        <w:fldChar w:fldCharType="separate"/>
      </w:r>
      <w:r>
        <w:rPr>
          <w:sz w:val="24"/>
        </w:rPr>
        <w:t>69</w:t>
      </w:r>
      <w:r>
        <w:rPr>
          <w:sz w:val="24"/>
        </w:rPr>
        <w:fldChar w:fldCharType="end"/>
      </w:r>
      <w:r>
        <w:rPr>
          <w:sz w:val="24"/>
        </w:rPr>
        <w:fldChar w:fldCharType="end"/>
      </w:r>
    </w:p>
    <w:p>
      <w:pPr>
        <w:pStyle w:val="13"/>
        <w:tabs>
          <w:tab w:val="right" w:leader="dot" w:pos="8306"/>
        </w:tabs>
        <w:spacing w:line="480" w:lineRule="exact"/>
        <w:rPr>
          <w:sz w:val="24"/>
        </w:rPr>
      </w:pPr>
      <w:r>
        <w:fldChar w:fldCharType="begin"/>
      </w:r>
      <w:r>
        <w:instrText xml:space="preserve"> HYPERLINK \l "_Toc18468" </w:instrText>
      </w:r>
      <w:r>
        <w:fldChar w:fldCharType="separate"/>
      </w:r>
      <w:r>
        <w:rPr>
          <w:rFonts w:hint="eastAsia" w:ascii="楷体" w:hAnsi="楷体" w:eastAsia="楷体" w:cs="楷体"/>
          <w:bCs/>
          <w:sz w:val="24"/>
        </w:rPr>
        <w:t>第二节 健全城市公共文化服务体系</w:t>
      </w:r>
      <w:r>
        <w:rPr>
          <w:sz w:val="24"/>
        </w:rPr>
        <w:tab/>
      </w:r>
      <w:r>
        <w:rPr>
          <w:sz w:val="24"/>
        </w:rPr>
        <w:fldChar w:fldCharType="begin"/>
      </w:r>
      <w:r>
        <w:rPr>
          <w:sz w:val="24"/>
        </w:rPr>
        <w:instrText xml:space="preserve"> PAGEREF _Toc18468 </w:instrText>
      </w:r>
      <w:r>
        <w:rPr>
          <w:sz w:val="24"/>
        </w:rPr>
        <w:fldChar w:fldCharType="separate"/>
      </w:r>
      <w:r>
        <w:rPr>
          <w:sz w:val="24"/>
        </w:rPr>
        <w:t>71</w:t>
      </w:r>
      <w:r>
        <w:rPr>
          <w:sz w:val="24"/>
        </w:rPr>
        <w:fldChar w:fldCharType="end"/>
      </w:r>
      <w:r>
        <w:rPr>
          <w:sz w:val="24"/>
        </w:rPr>
        <w:fldChar w:fldCharType="end"/>
      </w:r>
    </w:p>
    <w:p>
      <w:pPr>
        <w:pStyle w:val="13"/>
        <w:tabs>
          <w:tab w:val="right" w:leader="dot" w:pos="8306"/>
        </w:tabs>
        <w:spacing w:line="480" w:lineRule="exact"/>
        <w:rPr>
          <w:sz w:val="24"/>
        </w:rPr>
      </w:pPr>
      <w:r>
        <w:fldChar w:fldCharType="begin"/>
      </w:r>
      <w:r>
        <w:instrText xml:space="preserve"> HYPERLINK \l "_Toc24130" </w:instrText>
      </w:r>
      <w:r>
        <w:fldChar w:fldCharType="separate"/>
      </w:r>
      <w:r>
        <w:rPr>
          <w:rFonts w:hint="eastAsia" w:ascii="楷体" w:hAnsi="楷体" w:eastAsia="楷体" w:cs="楷体"/>
          <w:bCs/>
          <w:sz w:val="24"/>
        </w:rPr>
        <w:t>第三节 构建彰显城市特色的文化品牌体系</w:t>
      </w:r>
      <w:r>
        <w:rPr>
          <w:sz w:val="24"/>
        </w:rPr>
        <w:tab/>
      </w:r>
      <w:r>
        <w:rPr>
          <w:sz w:val="24"/>
        </w:rPr>
        <w:fldChar w:fldCharType="begin"/>
      </w:r>
      <w:r>
        <w:rPr>
          <w:sz w:val="24"/>
        </w:rPr>
        <w:instrText xml:space="preserve"> PAGEREF _Toc24130 </w:instrText>
      </w:r>
      <w:r>
        <w:rPr>
          <w:sz w:val="24"/>
        </w:rPr>
        <w:fldChar w:fldCharType="separate"/>
      </w:r>
      <w:r>
        <w:rPr>
          <w:sz w:val="24"/>
        </w:rPr>
        <w:t>72</w:t>
      </w:r>
      <w:r>
        <w:rPr>
          <w:sz w:val="24"/>
        </w:rPr>
        <w:fldChar w:fldCharType="end"/>
      </w:r>
      <w:r>
        <w:rPr>
          <w:sz w:val="24"/>
        </w:rPr>
        <w:fldChar w:fldCharType="end"/>
      </w:r>
    </w:p>
    <w:p>
      <w:pPr>
        <w:pStyle w:val="23"/>
        <w:tabs>
          <w:tab w:val="right" w:leader="dot" w:pos="8306"/>
        </w:tabs>
        <w:spacing w:line="480" w:lineRule="exact"/>
        <w:rPr>
          <w:sz w:val="24"/>
        </w:rPr>
      </w:pPr>
      <w:r>
        <w:fldChar w:fldCharType="begin"/>
      </w:r>
      <w:r>
        <w:instrText xml:space="preserve"> HYPERLINK \l "_Toc1430" </w:instrText>
      </w:r>
      <w:r>
        <w:fldChar w:fldCharType="separate"/>
      </w:r>
      <w:r>
        <w:rPr>
          <w:rFonts w:hint="eastAsia" w:ascii="黑体" w:hAnsi="黑体" w:eastAsia="黑体" w:cs="黑体"/>
          <w:sz w:val="24"/>
        </w:rPr>
        <w:t>第十一章 建设区域文化中心城市</w:t>
      </w:r>
      <w:r>
        <w:rPr>
          <w:sz w:val="24"/>
        </w:rPr>
        <w:tab/>
      </w:r>
      <w:r>
        <w:rPr>
          <w:sz w:val="24"/>
        </w:rPr>
        <w:fldChar w:fldCharType="begin"/>
      </w:r>
      <w:r>
        <w:rPr>
          <w:sz w:val="24"/>
        </w:rPr>
        <w:instrText xml:space="preserve"> PAGEREF _Toc1430 </w:instrText>
      </w:r>
      <w:r>
        <w:rPr>
          <w:sz w:val="24"/>
        </w:rPr>
        <w:fldChar w:fldCharType="separate"/>
      </w:r>
      <w:r>
        <w:rPr>
          <w:sz w:val="24"/>
        </w:rPr>
        <w:t>74</w:t>
      </w:r>
      <w:r>
        <w:rPr>
          <w:sz w:val="24"/>
        </w:rPr>
        <w:fldChar w:fldCharType="end"/>
      </w:r>
      <w:r>
        <w:rPr>
          <w:sz w:val="24"/>
        </w:rPr>
        <w:fldChar w:fldCharType="end"/>
      </w:r>
    </w:p>
    <w:p>
      <w:pPr>
        <w:pStyle w:val="13"/>
        <w:tabs>
          <w:tab w:val="right" w:leader="dot" w:pos="8306"/>
        </w:tabs>
        <w:spacing w:line="480" w:lineRule="exact"/>
        <w:rPr>
          <w:sz w:val="24"/>
        </w:rPr>
      </w:pPr>
      <w:r>
        <w:fldChar w:fldCharType="begin"/>
      </w:r>
      <w:r>
        <w:instrText xml:space="preserve"> HYPERLINK \l "_Toc10050" </w:instrText>
      </w:r>
      <w:r>
        <w:fldChar w:fldCharType="separate"/>
      </w:r>
      <w:r>
        <w:rPr>
          <w:rFonts w:hint="eastAsia" w:ascii="楷体" w:hAnsi="楷体" w:eastAsia="楷体" w:cs="楷体"/>
          <w:bCs/>
          <w:sz w:val="24"/>
        </w:rPr>
        <w:t>第一节 提升文化产业竞争力</w:t>
      </w:r>
      <w:r>
        <w:rPr>
          <w:sz w:val="24"/>
        </w:rPr>
        <w:tab/>
      </w:r>
      <w:r>
        <w:rPr>
          <w:sz w:val="24"/>
        </w:rPr>
        <w:fldChar w:fldCharType="begin"/>
      </w:r>
      <w:r>
        <w:rPr>
          <w:sz w:val="24"/>
        </w:rPr>
        <w:instrText xml:space="preserve"> PAGEREF _Toc10050 </w:instrText>
      </w:r>
      <w:r>
        <w:rPr>
          <w:sz w:val="24"/>
        </w:rPr>
        <w:fldChar w:fldCharType="separate"/>
      </w:r>
      <w:r>
        <w:rPr>
          <w:sz w:val="24"/>
        </w:rPr>
        <w:t>74</w:t>
      </w:r>
      <w:r>
        <w:rPr>
          <w:sz w:val="24"/>
        </w:rPr>
        <w:fldChar w:fldCharType="end"/>
      </w:r>
      <w:r>
        <w:rPr>
          <w:sz w:val="24"/>
        </w:rPr>
        <w:fldChar w:fldCharType="end"/>
      </w:r>
    </w:p>
    <w:p>
      <w:pPr>
        <w:pStyle w:val="13"/>
        <w:tabs>
          <w:tab w:val="right" w:leader="dot" w:pos="8306"/>
        </w:tabs>
        <w:spacing w:line="480" w:lineRule="exact"/>
        <w:rPr>
          <w:sz w:val="24"/>
        </w:rPr>
      </w:pPr>
      <w:r>
        <w:fldChar w:fldCharType="begin"/>
      </w:r>
      <w:r>
        <w:instrText xml:space="preserve"> HYPERLINK \l "_Toc15671" </w:instrText>
      </w:r>
      <w:r>
        <w:fldChar w:fldCharType="separate"/>
      </w:r>
      <w:r>
        <w:rPr>
          <w:rFonts w:hint="eastAsia" w:ascii="楷体" w:hAnsi="楷体" w:eastAsia="楷体" w:cs="楷体"/>
          <w:bCs/>
          <w:sz w:val="24"/>
        </w:rPr>
        <w:t>第二节 打造世界级运动活力之城</w:t>
      </w:r>
      <w:r>
        <w:rPr>
          <w:sz w:val="24"/>
        </w:rPr>
        <w:tab/>
      </w:r>
      <w:r>
        <w:rPr>
          <w:sz w:val="24"/>
        </w:rPr>
        <w:fldChar w:fldCharType="begin"/>
      </w:r>
      <w:r>
        <w:rPr>
          <w:sz w:val="24"/>
        </w:rPr>
        <w:instrText xml:space="preserve"> PAGEREF _Toc15671 </w:instrText>
      </w:r>
      <w:r>
        <w:rPr>
          <w:sz w:val="24"/>
        </w:rPr>
        <w:fldChar w:fldCharType="separate"/>
      </w:r>
      <w:r>
        <w:rPr>
          <w:sz w:val="24"/>
        </w:rPr>
        <w:t>75</w:t>
      </w:r>
      <w:r>
        <w:rPr>
          <w:sz w:val="24"/>
        </w:rPr>
        <w:fldChar w:fldCharType="end"/>
      </w:r>
      <w:r>
        <w:rPr>
          <w:sz w:val="24"/>
        </w:rPr>
        <w:fldChar w:fldCharType="end"/>
      </w:r>
    </w:p>
    <w:p>
      <w:pPr>
        <w:pStyle w:val="13"/>
        <w:tabs>
          <w:tab w:val="right" w:leader="dot" w:pos="8306"/>
        </w:tabs>
        <w:spacing w:line="480" w:lineRule="exact"/>
        <w:rPr>
          <w:sz w:val="24"/>
        </w:rPr>
      </w:pPr>
      <w:r>
        <w:fldChar w:fldCharType="begin"/>
      </w:r>
      <w:r>
        <w:instrText xml:space="preserve"> HYPERLINK \l "_Toc1181" </w:instrText>
      </w:r>
      <w:r>
        <w:fldChar w:fldCharType="separate"/>
      </w:r>
      <w:r>
        <w:rPr>
          <w:rFonts w:hint="eastAsia" w:ascii="楷体" w:hAnsi="楷体" w:eastAsia="楷体" w:cs="楷体"/>
          <w:bCs/>
          <w:sz w:val="24"/>
        </w:rPr>
        <w:t>第三节 建设世界级旅游景区和度假区</w:t>
      </w:r>
      <w:r>
        <w:rPr>
          <w:sz w:val="24"/>
        </w:rPr>
        <w:tab/>
      </w:r>
      <w:r>
        <w:rPr>
          <w:sz w:val="24"/>
        </w:rPr>
        <w:fldChar w:fldCharType="begin"/>
      </w:r>
      <w:r>
        <w:rPr>
          <w:sz w:val="24"/>
        </w:rPr>
        <w:instrText xml:space="preserve"> PAGEREF _Toc1181 </w:instrText>
      </w:r>
      <w:r>
        <w:rPr>
          <w:sz w:val="24"/>
        </w:rPr>
        <w:fldChar w:fldCharType="separate"/>
      </w:r>
      <w:r>
        <w:rPr>
          <w:sz w:val="24"/>
        </w:rPr>
        <w:t>76</w:t>
      </w:r>
      <w:r>
        <w:rPr>
          <w:sz w:val="24"/>
        </w:rPr>
        <w:fldChar w:fldCharType="end"/>
      </w:r>
      <w:r>
        <w:rPr>
          <w:sz w:val="24"/>
        </w:rPr>
        <w:fldChar w:fldCharType="end"/>
      </w:r>
    </w:p>
    <w:p>
      <w:pPr>
        <w:pStyle w:val="13"/>
        <w:tabs>
          <w:tab w:val="right" w:leader="dot" w:pos="8306"/>
        </w:tabs>
        <w:spacing w:line="480" w:lineRule="exact"/>
        <w:rPr>
          <w:sz w:val="24"/>
        </w:rPr>
      </w:pPr>
      <w:r>
        <w:fldChar w:fldCharType="begin"/>
      </w:r>
      <w:r>
        <w:instrText xml:space="preserve"> HYPERLINK \l "_Toc25609" </w:instrText>
      </w:r>
      <w:r>
        <w:fldChar w:fldCharType="separate"/>
      </w:r>
      <w:r>
        <w:rPr>
          <w:rFonts w:hint="eastAsia" w:ascii="楷体" w:hAnsi="楷体" w:eastAsia="楷体" w:cs="楷体"/>
          <w:bCs/>
          <w:sz w:val="24"/>
        </w:rPr>
        <w:t>第四节 全面提升城市对外交往能力与文化辐射力</w:t>
      </w:r>
      <w:r>
        <w:rPr>
          <w:sz w:val="24"/>
        </w:rPr>
        <w:tab/>
      </w:r>
      <w:r>
        <w:rPr>
          <w:sz w:val="24"/>
        </w:rPr>
        <w:fldChar w:fldCharType="begin"/>
      </w:r>
      <w:r>
        <w:rPr>
          <w:sz w:val="24"/>
        </w:rPr>
        <w:instrText xml:space="preserve"> PAGEREF _Toc25609 </w:instrText>
      </w:r>
      <w:r>
        <w:rPr>
          <w:sz w:val="24"/>
        </w:rPr>
        <w:fldChar w:fldCharType="separate"/>
      </w:r>
      <w:r>
        <w:rPr>
          <w:sz w:val="24"/>
        </w:rPr>
        <w:t>77</w:t>
      </w:r>
      <w:r>
        <w:rPr>
          <w:sz w:val="24"/>
        </w:rPr>
        <w:fldChar w:fldCharType="end"/>
      </w:r>
      <w:r>
        <w:rPr>
          <w:sz w:val="24"/>
        </w:rPr>
        <w:fldChar w:fldCharType="end"/>
      </w:r>
    </w:p>
    <w:p>
      <w:pPr>
        <w:pStyle w:val="19"/>
        <w:tabs>
          <w:tab w:val="right" w:leader="dot" w:pos="8306"/>
        </w:tabs>
        <w:spacing w:line="480" w:lineRule="exact"/>
        <w:rPr>
          <w:sz w:val="24"/>
        </w:rPr>
      </w:pPr>
      <w:r>
        <w:fldChar w:fldCharType="begin"/>
      </w:r>
      <w:r>
        <w:instrText xml:space="preserve"> HYPERLINK \l "_Toc28826" </w:instrText>
      </w:r>
      <w:r>
        <w:fldChar w:fldCharType="separate"/>
      </w:r>
      <w:r>
        <w:rPr>
          <w:rFonts w:hint="eastAsia" w:ascii="黑体" w:hAnsi="黑体" w:eastAsia="黑体" w:cs="黑体"/>
          <w:sz w:val="24"/>
        </w:rPr>
        <w:t>第六篇 率先形成共建共治共享共同富裕的民生发展格局</w:t>
      </w:r>
      <w:r>
        <w:rPr>
          <w:sz w:val="24"/>
        </w:rPr>
        <w:tab/>
      </w:r>
      <w:r>
        <w:rPr>
          <w:sz w:val="24"/>
        </w:rPr>
        <w:fldChar w:fldCharType="begin"/>
      </w:r>
      <w:r>
        <w:rPr>
          <w:sz w:val="24"/>
        </w:rPr>
        <w:instrText xml:space="preserve"> PAGEREF _Toc28826 </w:instrText>
      </w:r>
      <w:r>
        <w:rPr>
          <w:sz w:val="24"/>
        </w:rPr>
        <w:fldChar w:fldCharType="separate"/>
      </w:r>
      <w:r>
        <w:rPr>
          <w:sz w:val="24"/>
        </w:rPr>
        <w:t>79</w:t>
      </w:r>
      <w:r>
        <w:rPr>
          <w:sz w:val="24"/>
        </w:rPr>
        <w:fldChar w:fldCharType="end"/>
      </w:r>
      <w:r>
        <w:rPr>
          <w:sz w:val="24"/>
        </w:rPr>
        <w:fldChar w:fldCharType="end"/>
      </w:r>
    </w:p>
    <w:p>
      <w:pPr>
        <w:pStyle w:val="23"/>
        <w:tabs>
          <w:tab w:val="right" w:leader="dot" w:pos="8306"/>
        </w:tabs>
        <w:spacing w:line="480" w:lineRule="exact"/>
        <w:rPr>
          <w:sz w:val="24"/>
        </w:rPr>
      </w:pPr>
      <w:r>
        <w:fldChar w:fldCharType="begin"/>
      </w:r>
      <w:r>
        <w:instrText xml:space="preserve"> HYPERLINK \l "_Toc10080" </w:instrText>
      </w:r>
      <w:r>
        <w:fldChar w:fldCharType="separate"/>
      </w:r>
      <w:r>
        <w:rPr>
          <w:rFonts w:hint="eastAsia" w:ascii="黑体" w:hAnsi="黑体" w:eastAsia="黑体" w:cs="黑体"/>
          <w:sz w:val="24"/>
        </w:rPr>
        <w:t>第十二章</w:t>
      </w:r>
      <w:r>
        <w:rPr>
          <w:rFonts w:ascii="黑体" w:hAnsi="黑体" w:eastAsia="黑体" w:cs="黑体"/>
          <w:sz w:val="24"/>
        </w:rPr>
        <w:t xml:space="preserve"> </w:t>
      </w:r>
      <w:r>
        <w:rPr>
          <w:rFonts w:hint="eastAsia" w:ascii="黑体" w:hAnsi="黑体" w:eastAsia="黑体" w:cs="黑体"/>
          <w:sz w:val="24"/>
        </w:rPr>
        <w:t>办好人民满意的教育</w:t>
      </w:r>
      <w:r>
        <w:rPr>
          <w:sz w:val="24"/>
        </w:rPr>
        <w:tab/>
      </w:r>
      <w:r>
        <w:rPr>
          <w:sz w:val="24"/>
        </w:rPr>
        <w:fldChar w:fldCharType="begin"/>
      </w:r>
      <w:r>
        <w:rPr>
          <w:sz w:val="24"/>
        </w:rPr>
        <w:instrText xml:space="preserve"> PAGEREF _Toc10080 </w:instrText>
      </w:r>
      <w:r>
        <w:rPr>
          <w:sz w:val="24"/>
        </w:rPr>
        <w:fldChar w:fldCharType="separate"/>
      </w:r>
      <w:r>
        <w:rPr>
          <w:sz w:val="24"/>
        </w:rPr>
        <w:t>79</w:t>
      </w:r>
      <w:r>
        <w:rPr>
          <w:sz w:val="24"/>
        </w:rPr>
        <w:fldChar w:fldCharType="end"/>
      </w:r>
      <w:r>
        <w:rPr>
          <w:sz w:val="24"/>
        </w:rPr>
        <w:fldChar w:fldCharType="end"/>
      </w:r>
    </w:p>
    <w:p>
      <w:pPr>
        <w:pStyle w:val="13"/>
        <w:tabs>
          <w:tab w:val="right" w:leader="dot" w:pos="8306"/>
        </w:tabs>
        <w:spacing w:line="480" w:lineRule="exact"/>
        <w:rPr>
          <w:sz w:val="24"/>
        </w:rPr>
      </w:pPr>
      <w:r>
        <w:fldChar w:fldCharType="begin"/>
      </w:r>
      <w:r>
        <w:instrText xml:space="preserve"> HYPERLINK \l "_Toc5844" </w:instrText>
      </w:r>
      <w:r>
        <w:fldChar w:fldCharType="separate"/>
      </w:r>
      <w:r>
        <w:rPr>
          <w:rFonts w:hint="eastAsia" w:ascii="楷体" w:hAnsi="楷体" w:eastAsia="楷体" w:cs="楷体"/>
          <w:bCs/>
          <w:sz w:val="24"/>
        </w:rPr>
        <w:t>第一节 加快基础教育优质均衡发展</w:t>
      </w:r>
      <w:r>
        <w:rPr>
          <w:sz w:val="24"/>
        </w:rPr>
        <w:tab/>
      </w:r>
      <w:r>
        <w:rPr>
          <w:sz w:val="24"/>
        </w:rPr>
        <w:fldChar w:fldCharType="begin"/>
      </w:r>
      <w:r>
        <w:rPr>
          <w:sz w:val="24"/>
        </w:rPr>
        <w:instrText xml:space="preserve"> PAGEREF _Toc5844 </w:instrText>
      </w:r>
      <w:r>
        <w:rPr>
          <w:sz w:val="24"/>
        </w:rPr>
        <w:fldChar w:fldCharType="separate"/>
      </w:r>
      <w:r>
        <w:rPr>
          <w:sz w:val="24"/>
        </w:rPr>
        <w:t>79</w:t>
      </w:r>
      <w:r>
        <w:rPr>
          <w:sz w:val="24"/>
        </w:rPr>
        <w:fldChar w:fldCharType="end"/>
      </w:r>
      <w:r>
        <w:rPr>
          <w:sz w:val="24"/>
        </w:rPr>
        <w:fldChar w:fldCharType="end"/>
      </w:r>
    </w:p>
    <w:p>
      <w:pPr>
        <w:pStyle w:val="13"/>
        <w:tabs>
          <w:tab w:val="right" w:leader="dot" w:pos="8306"/>
        </w:tabs>
        <w:spacing w:line="480" w:lineRule="exact"/>
        <w:rPr>
          <w:sz w:val="24"/>
        </w:rPr>
      </w:pPr>
      <w:r>
        <w:fldChar w:fldCharType="begin"/>
      </w:r>
      <w:r>
        <w:instrText xml:space="preserve"> HYPERLINK \l "_Toc20885" </w:instrText>
      </w:r>
      <w:r>
        <w:fldChar w:fldCharType="separate"/>
      </w:r>
      <w:r>
        <w:rPr>
          <w:rFonts w:hint="eastAsia" w:ascii="楷体" w:hAnsi="楷体" w:eastAsia="楷体" w:cs="楷体"/>
          <w:bCs/>
          <w:sz w:val="24"/>
        </w:rPr>
        <w:t>第二节 推动高等教育高质量内涵式发展</w:t>
      </w:r>
      <w:r>
        <w:rPr>
          <w:sz w:val="24"/>
        </w:rPr>
        <w:tab/>
      </w:r>
      <w:r>
        <w:rPr>
          <w:sz w:val="24"/>
        </w:rPr>
        <w:fldChar w:fldCharType="begin"/>
      </w:r>
      <w:r>
        <w:rPr>
          <w:sz w:val="24"/>
        </w:rPr>
        <w:instrText xml:space="preserve"> PAGEREF _Toc20885 </w:instrText>
      </w:r>
      <w:r>
        <w:rPr>
          <w:sz w:val="24"/>
        </w:rPr>
        <w:fldChar w:fldCharType="separate"/>
      </w:r>
      <w:r>
        <w:rPr>
          <w:sz w:val="24"/>
        </w:rPr>
        <w:t>81</w:t>
      </w:r>
      <w:r>
        <w:rPr>
          <w:sz w:val="24"/>
        </w:rPr>
        <w:fldChar w:fldCharType="end"/>
      </w:r>
      <w:r>
        <w:rPr>
          <w:sz w:val="24"/>
        </w:rPr>
        <w:fldChar w:fldCharType="end"/>
      </w:r>
    </w:p>
    <w:p>
      <w:pPr>
        <w:pStyle w:val="13"/>
        <w:tabs>
          <w:tab w:val="right" w:leader="dot" w:pos="8306"/>
        </w:tabs>
        <w:spacing w:line="480" w:lineRule="exact"/>
        <w:rPr>
          <w:sz w:val="24"/>
        </w:rPr>
      </w:pPr>
      <w:r>
        <w:fldChar w:fldCharType="begin"/>
      </w:r>
      <w:r>
        <w:instrText xml:space="preserve"> HYPERLINK \l "_Toc30890" </w:instrText>
      </w:r>
      <w:r>
        <w:fldChar w:fldCharType="separate"/>
      </w:r>
      <w:r>
        <w:rPr>
          <w:rFonts w:hint="eastAsia" w:ascii="楷体" w:hAnsi="楷体" w:eastAsia="楷体" w:cs="楷体"/>
          <w:bCs/>
          <w:sz w:val="24"/>
        </w:rPr>
        <w:t>第三节 打造世界一流职业教育高地</w:t>
      </w:r>
      <w:r>
        <w:rPr>
          <w:sz w:val="24"/>
        </w:rPr>
        <w:tab/>
      </w:r>
      <w:r>
        <w:rPr>
          <w:sz w:val="24"/>
        </w:rPr>
        <w:fldChar w:fldCharType="begin"/>
      </w:r>
      <w:r>
        <w:rPr>
          <w:sz w:val="24"/>
        </w:rPr>
        <w:instrText xml:space="preserve"> PAGEREF _Toc30890 </w:instrText>
      </w:r>
      <w:r>
        <w:rPr>
          <w:sz w:val="24"/>
        </w:rPr>
        <w:fldChar w:fldCharType="separate"/>
      </w:r>
      <w:r>
        <w:rPr>
          <w:sz w:val="24"/>
        </w:rPr>
        <w:t>83</w:t>
      </w:r>
      <w:r>
        <w:rPr>
          <w:sz w:val="24"/>
        </w:rPr>
        <w:fldChar w:fldCharType="end"/>
      </w:r>
      <w:r>
        <w:rPr>
          <w:sz w:val="24"/>
        </w:rPr>
        <w:fldChar w:fldCharType="end"/>
      </w:r>
    </w:p>
    <w:p>
      <w:pPr>
        <w:pStyle w:val="13"/>
        <w:tabs>
          <w:tab w:val="right" w:leader="dot" w:pos="8306"/>
        </w:tabs>
        <w:spacing w:line="480" w:lineRule="exact"/>
        <w:rPr>
          <w:sz w:val="24"/>
        </w:rPr>
      </w:pPr>
      <w:r>
        <w:fldChar w:fldCharType="begin"/>
      </w:r>
      <w:r>
        <w:instrText xml:space="preserve"> HYPERLINK \l "_Toc25934" </w:instrText>
      </w:r>
      <w:r>
        <w:fldChar w:fldCharType="separate"/>
      </w:r>
      <w:r>
        <w:rPr>
          <w:rFonts w:hint="eastAsia" w:ascii="楷体" w:hAnsi="楷体" w:eastAsia="楷体" w:cs="楷体"/>
          <w:bCs/>
          <w:sz w:val="24"/>
        </w:rPr>
        <w:t>第四节 提升终身教育服务能力</w:t>
      </w:r>
      <w:r>
        <w:rPr>
          <w:sz w:val="24"/>
        </w:rPr>
        <w:tab/>
      </w:r>
      <w:r>
        <w:rPr>
          <w:sz w:val="24"/>
        </w:rPr>
        <w:fldChar w:fldCharType="begin"/>
      </w:r>
      <w:r>
        <w:rPr>
          <w:sz w:val="24"/>
        </w:rPr>
        <w:instrText xml:space="preserve"> PAGEREF _Toc25934 </w:instrText>
      </w:r>
      <w:r>
        <w:rPr>
          <w:sz w:val="24"/>
        </w:rPr>
        <w:fldChar w:fldCharType="separate"/>
      </w:r>
      <w:r>
        <w:rPr>
          <w:sz w:val="24"/>
        </w:rPr>
        <w:t>84</w:t>
      </w:r>
      <w:r>
        <w:rPr>
          <w:sz w:val="24"/>
        </w:rPr>
        <w:fldChar w:fldCharType="end"/>
      </w:r>
      <w:r>
        <w:rPr>
          <w:sz w:val="24"/>
        </w:rPr>
        <w:fldChar w:fldCharType="end"/>
      </w:r>
    </w:p>
    <w:p>
      <w:pPr>
        <w:pStyle w:val="23"/>
        <w:tabs>
          <w:tab w:val="right" w:leader="dot" w:pos="8306"/>
        </w:tabs>
        <w:spacing w:line="480" w:lineRule="exact"/>
        <w:rPr>
          <w:sz w:val="24"/>
        </w:rPr>
      </w:pPr>
      <w:r>
        <w:fldChar w:fldCharType="begin"/>
      </w:r>
      <w:r>
        <w:instrText xml:space="preserve"> HYPERLINK \l "_Toc487" </w:instrText>
      </w:r>
      <w:r>
        <w:fldChar w:fldCharType="separate"/>
      </w:r>
      <w:r>
        <w:rPr>
          <w:rFonts w:hint="eastAsia" w:ascii="黑体" w:hAnsi="黑体" w:eastAsia="黑体" w:cs="黑体"/>
          <w:sz w:val="24"/>
        </w:rPr>
        <w:t>第十三章 打造健康深圳</w:t>
      </w:r>
      <w:r>
        <w:rPr>
          <w:sz w:val="24"/>
        </w:rPr>
        <w:tab/>
      </w:r>
      <w:r>
        <w:rPr>
          <w:sz w:val="24"/>
        </w:rPr>
        <w:fldChar w:fldCharType="begin"/>
      </w:r>
      <w:r>
        <w:rPr>
          <w:sz w:val="24"/>
        </w:rPr>
        <w:instrText xml:space="preserve"> PAGEREF _Toc487 </w:instrText>
      </w:r>
      <w:r>
        <w:rPr>
          <w:sz w:val="24"/>
        </w:rPr>
        <w:fldChar w:fldCharType="separate"/>
      </w:r>
      <w:r>
        <w:rPr>
          <w:sz w:val="24"/>
        </w:rPr>
        <w:t>85</w:t>
      </w:r>
      <w:r>
        <w:rPr>
          <w:sz w:val="24"/>
        </w:rPr>
        <w:fldChar w:fldCharType="end"/>
      </w:r>
      <w:r>
        <w:rPr>
          <w:sz w:val="24"/>
        </w:rPr>
        <w:fldChar w:fldCharType="end"/>
      </w:r>
    </w:p>
    <w:p>
      <w:pPr>
        <w:pStyle w:val="13"/>
        <w:tabs>
          <w:tab w:val="right" w:leader="dot" w:pos="8306"/>
        </w:tabs>
        <w:spacing w:line="480" w:lineRule="exact"/>
        <w:rPr>
          <w:sz w:val="24"/>
        </w:rPr>
      </w:pPr>
      <w:r>
        <w:fldChar w:fldCharType="begin"/>
      </w:r>
      <w:r>
        <w:instrText xml:space="preserve"> HYPERLINK \l "_Toc11265" </w:instrText>
      </w:r>
      <w:r>
        <w:fldChar w:fldCharType="separate"/>
      </w:r>
      <w:r>
        <w:rPr>
          <w:rFonts w:hint="eastAsia" w:ascii="楷体" w:hAnsi="楷体" w:eastAsia="楷体" w:cs="楷体"/>
          <w:bCs/>
          <w:sz w:val="24"/>
        </w:rPr>
        <w:t>第一节 构建国际一流的整合型优质医疗服务体系</w:t>
      </w:r>
      <w:r>
        <w:rPr>
          <w:sz w:val="24"/>
        </w:rPr>
        <w:tab/>
      </w:r>
      <w:r>
        <w:rPr>
          <w:sz w:val="24"/>
        </w:rPr>
        <w:fldChar w:fldCharType="begin"/>
      </w:r>
      <w:r>
        <w:rPr>
          <w:sz w:val="24"/>
        </w:rPr>
        <w:instrText xml:space="preserve"> PAGEREF _Toc11265 </w:instrText>
      </w:r>
      <w:r>
        <w:rPr>
          <w:sz w:val="24"/>
        </w:rPr>
        <w:fldChar w:fldCharType="separate"/>
      </w:r>
      <w:r>
        <w:rPr>
          <w:sz w:val="24"/>
        </w:rPr>
        <w:t>85</w:t>
      </w:r>
      <w:r>
        <w:rPr>
          <w:sz w:val="24"/>
        </w:rPr>
        <w:fldChar w:fldCharType="end"/>
      </w:r>
      <w:r>
        <w:rPr>
          <w:sz w:val="24"/>
        </w:rPr>
        <w:fldChar w:fldCharType="end"/>
      </w:r>
    </w:p>
    <w:p>
      <w:pPr>
        <w:pStyle w:val="13"/>
        <w:tabs>
          <w:tab w:val="right" w:leader="dot" w:pos="8306"/>
        </w:tabs>
        <w:spacing w:line="480" w:lineRule="exact"/>
        <w:rPr>
          <w:sz w:val="24"/>
        </w:rPr>
      </w:pPr>
      <w:r>
        <w:fldChar w:fldCharType="begin"/>
      </w:r>
      <w:r>
        <w:instrText xml:space="preserve"> HYPERLINK \l "_Toc30639" </w:instrText>
      </w:r>
      <w:r>
        <w:fldChar w:fldCharType="separate"/>
      </w:r>
      <w:r>
        <w:rPr>
          <w:rFonts w:hint="eastAsia" w:ascii="楷体" w:hAnsi="楷体" w:eastAsia="楷体" w:cs="楷体"/>
          <w:bCs/>
          <w:sz w:val="24"/>
        </w:rPr>
        <w:t>第二节 加强全民健康管理</w:t>
      </w:r>
      <w:r>
        <w:rPr>
          <w:sz w:val="24"/>
        </w:rPr>
        <w:tab/>
      </w:r>
      <w:r>
        <w:rPr>
          <w:sz w:val="24"/>
        </w:rPr>
        <w:fldChar w:fldCharType="begin"/>
      </w:r>
      <w:r>
        <w:rPr>
          <w:sz w:val="24"/>
        </w:rPr>
        <w:instrText xml:space="preserve"> PAGEREF _Toc30639 </w:instrText>
      </w:r>
      <w:r>
        <w:rPr>
          <w:sz w:val="24"/>
        </w:rPr>
        <w:fldChar w:fldCharType="separate"/>
      </w:r>
      <w:r>
        <w:rPr>
          <w:sz w:val="24"/>
        </w:rPr>
        <w:t>86</w:t>
      </w:r>
      <w:r>
        <w:rPr>
          <w:sz w:val="24"/>
        </w:rPr>
        <w:fldChar w:fldCharType="end"/>
      </w:r>
      <w:r>
        <w:rPr>
          <w:sz w:val="24"/>
        </w:rPr>
        <w:fldChar w:fldCharType="end"/>
      </w:r>
    </w:p>
    <w:p>
      <w:pPr>
        <w:pStyle w:val="13"/>
        <w:tabs>
          <w:tab w:val="right" w:leader="dot" w:pos="8306"/>
        </w:tabs>
        <w:spacing w:line="480" w:lineRule="exact"/>
        <w:rPr>
          <w:sz w:val="24"/>
        </w:rPr>
      </w:pPr>
      <w:r>
        <w:fldChar w:fldCharType="begin"/>
      </w:r>
      <w:r>
        <w:instrText xml:space="preserve"> HYPERLINK \l "_Toc6561" </w:instrText>
      </w:r>
      <w:r>
        <w:fldChar w:fldCharType="separate"/>
      </w:r>
      <w:r>
        <w:rPr>
          <w:rFonts w:hint="eastAsia" w:ascii="楷体" w:hAnsi="楷体" w:eastAsia="楷体" w:cs="楷体"/>
          <w:bCs/>
          <w:sz w:val="24"/>
        </w:rPr>
        <w:t>第三节 完善突发公共卫生应急管理体系</w:t>
      </w:r>
      <w:r>
        <w:rPr>
          <w:sz w:val="24"/>
        </w:rPr>
        <w:tab/>
      </w:r>
      <w:r>
        <w:rPr>
          <w:sz w:val="24"/>
        </w:rPr>
        <w:fldChar w:fldCharType="begin"/>
      </w:r>
      <w:r>
        <w:rPr>
          <w:sz w:val="24"/>
        </w:rPr>
        <w:instrText xml:space="preserve"> PAGEREF _Toc6561 </w:instrText>
      </w:r>
      <w:r>
        <w:rPr>
          <w:sz w:val="24"/>
        </w:rPr>
        <w:fldChar w:fldCharType="separate"/>
      </w:r>
      <w:r>
        <w:rPr>
          <w:sz w:val="24"/>
        </w:rPr>
        <w:t>87</w:t>
      </w:r>
      <w:r>
        <w:rPr>
          <w:sz w:val="24"/>
        </w:rPr>
        <w:fldChar w:fldCharType="end"/>
      </w:r>
      <w:r>
        <w:rPr>
          <w:sz w:val="24"/>
        </w:rPr>
        <w:fldChar w:fldCharType="end"/>
      </w:r>
    </w:p>
    <w:p>
      <w:pPr>
        <w:pStyle w:val="13"/>
        <w:tabs>
          <w:tab w:val="right" w:leader="dot" w:pos="8306"/>
        </w:tabs>
        <w:spacing w:line="480" w:lineRule="exact"/>
        <w:rPr>
          <w:sz w:val="24"/>
        </w:rPr>
      </w:pPr>
      <w:r>
        <w:fldChar w:fldCharType="begin"/>
      </w:r>
      <w:r>
        <w:instrText xml:space="preserve"> HYPERLINK \l "_Toc15368" </w:instrText>
      </w:r>
      <w:r>
        <w:fldChar w:fldCharType="separate"/>
      </w:r>
      <w:r>
        <w:rPr>
          <w:rFonts w:hint="eastAsia" w:ascii="楷体" w:hAnsi="楷体" w:eastAsia="楷体" w:cs="楷体"/>
          <w:bCs/>
          <w:sz w:val="24"/>
        </w:rPr>
        <w:t>第四节 深化医药卫生体制机制改革</w:t>
      </w:r>
      <w:r>
        <w:rPr>
          <w:sz w:val="24"/>
        </w:rPr>
        <w:tab/>
      </w:r>
      <w:r>
        <w:rPr>
          <w:sz w:val="24"/>
        </w:rPr>
        <w:fldChar w:fldCharType="begin"/>
      </w:r>
      <w:r>
        <w:rPr>
          <w:sz w:val="24"/>
        </w:rPr>
        <w:instrText xml:space="preserve"> PAGEREF _Toc15368 </w:instrText>
      </w:r>
      <w:r>
        <w:rPr>
          <w:sz w:val="24"/>
        </w:rPr>
        <w:fldChar w:fldCharType="separate"/>
      </w:r>
      <w:r>
        <w:rPr>
          <w:sz w:val="24"/>
        </w:rPr>
        <w:t>89</w:t>
      </w:r>
      <w:r>
        <w:rPr>
          <w:sz w:val="24"/>
        </w:rPr>
        <w:fldChar w:fldCharType="end"/>
      </w:r>
      <w:r>
        <w:rPr>
          <w:sz w:val="24"/>
        </w:rPr>
        <w:fldChar w:fldCharType="end"/>
      </w:r>
    </w:p>
    <w:p>
      <w:pPr>
        <w:pStyle w:val="23"/>
        <w:tabs>
          <w:tab w:val="right" w:leader="dot" w:pos="8306"/>
        </w:tabs>
        <w:spacing w:line="480" w:lineRule="exact"/>
        <w:rPr>
          <w:sz w:val="24"/>
        </w:rPr>
      </w:pPr>
      <w:r>
        <w:fldChar w:fldCharType="begin"/>
      </w:r>
      <w:r>
        <w:instrText xml:space="preserve"> HYPERLINK \l "_Toc13968" </w:instrText>
      </w:r>
      <w:r>
        <w:fldChar w:fldCharType="separate"/>
      </w:r>
      <w:r>
        <w:rPr>
          <w:rFonts w:hint="eastAsia" w:ascii="黑体" w:hAnsi="黑体" w:eastAsia="黑体" w:cs="黑体"/>
          <w:sz w:val="24"/>
        </w:rPr>
        <w:t>第十四章 全面提升社会保障和社会治理水平</w:t>
      </w:r>
      <w:r>
        <w:rPr>
          <w:sz w:val="24"/>
        </w:rPr>
        <w:tab/>
      </w:r>
      <w:r>
        <w:rPr>
          <w:sz w:val="24"/>
        </w:rPr>
        <w:fldChar w:fldCharType="begin"/>
      </w:r>
      <w:r>
        <w:rPr>
          <w:sz w:val="24"/>
        </w:rPr>
        <w:instrText xml:space="preserve"> PAGEREF _Toc13968 </w:instrText>
      </w:r>
      <w:r>
        <w:rPr>
          <w:sz w:val="24"/>
        </w:rPr>
        <w:fldChar w:fldCharType="separate"/>
      </w:r>
      <w:r>
        <w:rPr>
          <w:sz w:val="24"/>
        </w:rPr>
        <w:t>91</w:t>
      </w:r>
      <w:r>
        <w:rPr>
          <w:sz w:val="24"/>
        </w:rPr>
        <w:fldChar w:fldCharType="end"/>
      </w:r>
      <w:r>
        <w:rPr>
          <w:sz w:val="24"/>
        </w:rPr>
        <w:fldChar w:fldCharType="end"/>
      </w:r>
    </w:p>
    <w:p>
      <w:pPr>
        <w:pStyle w:val="13"/>
        <w:tabs>
          <w:tab w:val="right" w:leader="dot" w:pos="8306"/>
        </w:tabs>
        <w:spacing w:line="480" w:lineRule="exact"/>
        <w:rPr>
          <w:sz w:val="24"/>
        </w:rPr>
      </w:pPr>
      <w:r>
        <w:fldChar w:fldCharType="begin"/>
      </w:r>
      <w:r>
        <w:instrText xml:space="preserve"> HYPERLINK \l "_Toc29297" </w:instrText>
      </w:r>
      <w:r>
        <w:fldChar w:fldCharType="separate"/>
      </w:r>
      <w:r>
        <w:rPr>
          <w:rFonts w:hint="eastAsia" w:ascii="楷体" w:hAnsi="楷体" w:eastAsia="楷体" w:cs="楷体"/>
          <w:bCs/>
          <w:sz w:val="24"/>
        </w:rPr>
        <w:t>第一节 提高就业质量和收入水平</w:t>
      </w:r>
      <w:r>
        <w:rPr>
          <w:sz w:val="24"/>
        </w:rPr>
        <w:tab/>
      </w:r>
      <w:r>
        <w:rPr>
          <w:sz w:val="24"/>
        </w:rPr>
        <w:fldChar w:fldCharType="begin"/>
      </w:r>
      <w:r>
        <w:rPr>
          <w:sz w:val="24"/>
        </w:rPr>
        <w:instrText xml:space="preserve"> PAGEREF _Toc29297 </w:instrText>
      </w:r>
      <w:r>
        <w:rPr>
          <w:sz w:val="24"/>
        </w:rPr>
        <w:fldChar w:fldCharType="separate"/>
      </w:r>
      <w:r>
        <w:rPr>
          <w:sz w:val="24"/>
        </w:rPr>
        <w:t>91</w:t>
      </w:r>
      <w:r>
        <w:rPr>
          <w:sz w:val="24"/>
        </w:rPr>
        <w:fldChar w:fldCharType="end"/>
      </w:r>
      <w:r>
        <w:rPr>
          <w:sz w:val="24"/>
        </w:rPr>
        <w:fldChar w:fldCharType="end"/>
      </w:r>
    </w:p>
    <w:p>
      <w:pPr>
        <w:pStyle w:val="13"/>
        <w:tabs>
          <w:tab w:val="right" w:leader="dot" w:pos="8306"/>
        </w:tabs>
        <w:spacing w:line="480" w:lineRule="exact"/>
        <w:rPr>
          <w:sz w:val="24"/>
        </w:rPr>
      </w:pPr>
      <w:r>
        <w:fldChar w:fldCharType="begin"/>
      </w:r>
      <w:r>
        <w:instrText xml:space="preserve"> HYPERLINK \l "_Toc2639" </w:instrText>
      </w:r>
      <w:r>
        <w:fldChar w:fldCharType="separate"/>
      </w:r>
      <w:r>
        <w:rPr>
          <w:rFonts w:hint="eastAsia" w:ascii="楷体" w:hAnsi="楷体" w:eastAsia="楷体" w:cs="楷体"/>
          <w:bCs/>
          <w:sz w:val="24"/>
        </w:rPr>
        <w:t>第二节 完善住房供应和保障体系</w:t>
      </w:r>
      <w:r>
        <w:rPr>
          <w:sz w:val="24"/>
        </w:rPr>
        <w:tab/>
      </w:r>
      <w:r>
        <w:rPr>
          <w:sz w:val="24"/>
        </w:rPr>
        <w:fldChar w:fldCharType="begin"/>
      </w:r>
      <w:r>
        <w:rPr>
          <w:sz w:val="24"/>
        </w:rPr>
        <w:instrText xml:space="preserve"> PAGEREF _Toc2639 </w:instrText>
      </w:r>
      <w:r>
        <w:rPr>
          <w:sz w:val="24"/>
        </w:rPr>
        <w:fldChar w:fldCharType="separate"/>
      </w:r>
      <w:r>
        <w:rPr>
          <w:sz w:val="24"/>
        </w:rPr>
        <w:t>92</w:t>
      </w:r>
      <w:r>
        <w:rPr>
          <w:sz w:val="24"/>
        </w:rPr>
        <w:fldChar w:fldCharType="end"/>
      </w:r>
      <w:r>
        <w:rPr>
          <w:sz w:val="24"/>
        </w:rPr>
        <w:fldChar w:fldCharType="end"/>
      </w:r>
    </w:p>
    <w:p>
      <w:pPr>
        <w:pStyle w:val="13"/>
        <w:tabs>
          <w:tab w:val="right" w:leader="dot" w:pos="8306"/>
        </w:tabs>
        <w:spacing w:line="480" w:lineRule="exact"/>
        <w:rPr>
          <w:sz w:val="24"/>
        </w:rPr>
      </w:pPr>
      <w:r>
        <w:fldChar w:fldCharType="begin"/>
      </w:r>
      <w:r>
        <w:instrText xml:space="preserve"> HYPERLINK \l "_Toc13924" </w:instrText>
      </w:r>
      <w:r>
        <w:fldChar w:fldCharType="separate"/>
      </w:r>
      <w:r>
        <w:rPr>
          <w:rFonts w:hint="eastAsia" w:ascii="楷体" w:hAnsi="楷体" w:eastAsia="楷体" w:cs="楷体"/>
          <w:bCs/>
          <w:sz w:val="24"/>
        </w:rPr>
        <w:t>第三节 提升社会保障水平</w:t>
      </w:r>
      <w:r>
        <w:rPr>
          <w:sz w:val="24"/>
        </w:rPr>
        <w:tab/>
      </w:r>
      <w:r>
        <w:rPr>
          <w:sz w:val="24"/>
        </w:rPr>
        <w:fldChar w:fldCharType="begin"/>
      </w:r>
      <w:r>
        <w:rPr>
          <w:sz w:val="24"/>
        </w:rPr>
        <w:instrText xml:space="preserve"> PAGEREF _Toc13924 </w:instrText>
      </w:r>
      <w:r>
        <w:rPr>
          <w:sz w:val="24"/>
        </w:rPr>
        <w:fldChar w:fldCharType="separate"/>
      </w:r>
      <w:r>
        <w:rPr>
          <w:sz w:val="24"/>
        </w:rPr>
        <w:t>93</w:t>
      </w:r>
      <w:r>
        <w:rPr>
          <w:sz w:val="24"/>
        </w:rPr>
        <w:fldChar w:fldCharType="end"/>
      </w:r>
      <w:r>
        <w:rPr>
          <w:sz w:val="24"/>
        </w:rPr>
        <w:fldChar w:fldCharType="end"/>
      </w:r>
    </w:p>
    <w:p>
      <w:pPr>
        <w:pStyle w:val="13"/>
        <w:tabs>
          <w:tab w:val="right" w:leader="dot" w:pos="8306"/>
        </w:tabs>
        <w:spacing w:line="480" w:lineRule="exact"/>
        <w:rPr>
          <w:sz w:val="24"/>
        </w:rPr>
      </w:pPr>
      <w:r>
        <w:fldChar w:fldCharType="begin"/>
      </w:r>
      <w:r>
        <w:instrText xml:space="preserve"> HYPERLINK \l "_Toc5252" </w:instrText>
      </w:r>
      <w:r>
        <w:fldChar w:fldCharType="separate"/>
      </w:r>
      <w:r>
        <w:rPr>
          <w:rFonts w:hint="eastAsia" w:ascii="楷体" w:hAnsi="楷体" w:eastAsia="楷体" w:cs="楷体"/>
          <w:bCs/>
          <w:sz w:val="24"/>
        </w:rPr>
        <w:t>第四节 保障妇女、未成年人和残疾人基本权益</w:t>
      </w:r>
      <w:r>
        <w:rPr>
          <w:sz w:val="24"/>
        </w:rPr>
        <w:tab/>
      </w:r>
      <w:r>
        <w:rPr>
          <w:sz w:val="24"/>
        </w:rPr>
        <w:fldChar w:fldCharType="begin"/>
      </w:r>
      <w:r>
        <w:rPr>
          <w:sz w:val="24"/>
        </w:rPr>
        <w:instrText xml:space="preserve"> PAGEREF _Toc5252 </w:instrText>
      </w:r>
      <w:r>
        <w:rPr>
          <w:sz w:val="24"/>
        </w:rPr>
        <w:fldChar w:fldCharType="separate"/>
      </w:r>
      <w:r>
        <w:rPr>
          <w:sz w:val="24"/>
        </w:rPr>
        <w:t>94</w:t>
      </w:r>
      <w:r>
        <w:rPr>
          <w:sz w:val="24"/>
        </w:rPr>
        <w:fldChar w:fldCharType="end"/>
      </w:r>
      <w:r>
        <w:rPr>
          <w:sz w:val="24"/>
        </w:rPr>
        <w:fldChar w:fldCharType="end"/>
      </w:r>
    </w:p>
    <w:p>
      <w:pPr>
        <w:pStyle w:val="13"/>
        <w:tabs>
          <w:tab w:val="right" w:leader="dot" w:pos="8306"/>
        </w:tabs>
        <w:spacing w:line="480" w:lineRule="exact"/>
        <w:rPr>
          <w:sz w:val="24"/>
        </w:rPr>
      </w:pPr>
      <w:r>
        <w:fldChar w:fldCharType="begin"/>
      </w:r>
      <w:r>
        <w:instrText xml:space="preserve"> HYPERLINK \l "_Toc23226" </w:instrText>
      </w:r>
      <w:r>
        <w:fldChar w:fldCharType="separate"/>
      </w:r>
      <w:r>
        <w:rPr>
          <w:rFonts w:hint="eastAsia" w:ascii="楷体" w:hAnsi="楷体" w:eastAsia="楷体" w:cs="楷体"/>
          <w:bCs/>
          <w:sz w:val="24"/>
        </w:rPr>
        <w:t>第五节 加强和创新社会治理</w:t>
      </w:r>
      <w:r>
        <w:rPr>
          <w:sz w:val="24"/>
        </w:rPr>
        <w:tab/>
      </w:r>
      <w:r>
        <w:rPr>
          <w:sz w:val="24"/>
        </w:rPr>
        <w:fldChar w:fldCharType="begin"/>
      </w:r>
      <w:r>
        <w:rPr>
          <w:sz w:val="24"/>
        </w:rPr>
        <w:instrText xml:space="preserve"> PAGEREF _Toc23226 </w:instrText>
      </w:r>
      <w:r>
        <w:rPr>
          <w:sz w:val="24"/>
        </w:rPr>
        <w:fldChar w:fldCharType="separate"/>
      </w:r>
      <w:r>
        <w:rPr>
          <w:sz w:val="24"/>
        </w:rPr>
        <w:t>96</w:t>
      </w:r>
      <w:r>
        <w:rPr>
          <w:sz w:val="24"/>
        </w:rPr>
        <w:fldChar w:fldCharType="end"/>
      </w:r>
      <w:r>
        <w:rPr>
          <w:sz w:val="24"/>
        </w:rPr>
        <w:fldChar w:fldCharType="end"/>
      </w:r>
    </w:p>
    <w:p>
      <w:pPr>
        <w:pStyle w:val="19"/>
        <w:tabs>
          <w:tab w:val="right" w:leader="dot" w:pos="8306"/>
        </w:tabs>
        <w:spacing w:line="480" w:lineRule="exact"/>
        <w:rPr>
          <w:sz w:val="24"/>
        </w:rPr>
      </w:pPr>
      <w:r>
        <w:fldChar w:fldCharType="begin"/>
      </w:r>
      <w:r>
        <w:instrText xml:space="preserve"> HYPERLINK \l "_Toc3911" </w:instrText>
      </w:r>
      <w:r>
        <w:fldChar w:fldCharType="separate"/>
      </w:r>
      <w:r>
        <w:rPr>
          <w:rFonts w:hint="eastAsia" w:ascii="黑体" w:hAnsi="黑体" w:eastAsia="黑体" w:cs="黑体"/>
          <w:sz w:val="24"/>
          <w:lang w:val="zh-CN"/>
        </w:rPr>
        <w:t>第七篇 率先打造人与自然和谐共生的美丽中国典范</w:t>
      </w:r>
      <w:r>
        <w:rPr>
          <w:sz w:val="24"/>
        </w:rPr>
        <w:tab/>
      </w:r>
      <w:r>
        <w:rPr>
          <w:sz w:val="24"/>
        </w:rPr>
        <w:fldChar w:fldCharType="begin"/>
      </w:r>
      <w:r>
        <w:rPr>
          <w:sz w:val="24"/>
        </w:rPr>
        <w:instrText xml:space="preserve"> PAGEREF _Toc3911 </w:instrText>
      </w:r>
      <w:r>
        <w:rPr>
          <w:sz w:val="24"/>
        </w:rPr>
        <w:fldChar w:fldCharType="separate"/>
      </w:r>
      <w:r>
        <w:rPr>
          <w:sz w:val="24"/>
        </w:rPr>
        <w:t>97</w:t>
      </w:r>
      <w:r>
        <w:rPr>
          <w:sz w:val="24"/>
        </w:rPr>
        <w:fldChar w:fldCharType="end"/>
      </w:r>
      <w:r>
        <w:rPr>
          <w:sz w:val="24"/>
        </w:rPr>
        <w:fldChar w:fldCharType="end"/>
      </w:r>
    </w:p>
    <w:p>
      <w:pPr>
        <w:pStyle w:val="23"/>
        <w:tabs>
          <w:tab w:val="right" w:leader="dot" w:pos="8306"/>
        </w:tabs>
        <w:spacing w:line="480" w:lineRule="exact"/>
        <w:rPr>
          <w:sz w:val="24"/>
        </w:rPr>
      </w:pPr>
      <w:r>
        <w:fldChar w:fldCharType="begin"/>
      </w:r>
      <w:r>
        <w:instrText xml:space="preserve"> HYPERLINK \l "_Toc8513" </w:instrText>
      </w:r>
      <w:r>
        <w:fldChar w:fldCharType="separate"/>
      </w:r>
      <w:r>
        <w:rPr>
          <w:rFonts w:hint="eastAsia" w:ascii="黑体" w:hAnsi="黑体" w:eastAsia="黑体" w:cs="黑体"/>
          <w:sz w:val="24"/>
        </w:rPr>
        <w:t>第十五章</w:t>
      </w:r>
      <w:r>
        <w:rPr>
          <w:rFonts w:ascii="黑体" w:hAnsi="黑体" w:eastAsia="黑体" w:cs="黑体"/>
          <w:sz w:val="24"/>
        </w:rPr>
        <w:t xml:space="preserve"> </w:t>
      </w:r>
      <w:r>
        <w:rPr>
          <w:rFonts w:hint="eastAsia" w:ascii="黑体" w:hAnsi="黑体" w:eastAsia="黑体" w:cs="黑体"/>
          <w:sz w:val="24"/>
        </w:rPr>
        <w:t>建设可持续发展国际先进城市</w:t>
      </w:r>
      <w:r>
        <w:rPr>
          <w:sz w:val="24"/>
        </w:rPr>
        <w:tab/>
      </w:r>
      <w:r>
        <w:rPr>
          <w:sz w:val="24"/>
        </w:rPr>
        <w:fldChar w:fldCharType="begin"/>
      </w:r>
      <w:r>
        <w:rPr>
          <w:sz w:val="24"/>
        </w:rPr>
        <w:instrText xml:space="preserve"> PAGEREF _Toc8513 </w:instrText>
      </w:r>
      <w:r>
        <w:rPr>
          <w:sz w:val="24"/>
        </w:rPr>
        <w:fldChar w:fldCharType="separate"/>
      </w:r>
      <w:r>
        <w:rPr>
          <w:sz w:val="24"/>
        </w:rPr>
        <w:t>97</w:t>
      </w:r>
      <w:r>
        <w:rPr>
          <w:sz w:val="24"/>
        </w:rPr>
        <w:fldChar w:fldCharType="end"/>
      </w:r>
      <w:r>
        <w:rPr>
          <w:sz w:val="24"/>
        </w:rPr>
        <w:fldChar w:fldCharType="end"/>
      </w:r>
    </w:p>
    <w:p>
      <w:pPr>
        <w:pStyle w:val="13"/>
        <w:tabs>
          <w:tab w:val="right" w:leader="dot" w:pos="8306"/>
        </w:tabs>
        <w:spacing w:line="480" w:lineRule="exact"/>
        <w:rPr>
          <w:sz w:val="24"/>
        </w:rPr>
      </w:pPr>
      <w:r>
        <w:fldChar w:fldCharType="begin"/>
      </w:r>
      <w:r>
        <w:instrText xml:space="preserve"> HYPERLINK \l "_Toc19681" </w:instrText>
      </w:r>
      <w:r>
        <w:fldChar w:fldCharType="separate"/>
      </w:r>
      <w:r>
        <w:rPr>
          <w:rFonts w:hint="eastAsia" w:ascii="楷体" w:hAnsi="楷体" w:eastAsia="楷体" w:cs="楷体"/>
          <w:bCs/>
          <w:sz w:val="24"/>
        </w:rPr>
        <w:t>第一节</w:t>
      </w:r>
      <w:r>
        <w:rPr>
          <w:rFonts w:ascii="楷体" w:hAnsi="楷体" w:eastAsia="楷体" w:cs="楷体"/>
          <w:bCs/>
          <w:sz w:val="24"/>
        </w:rPr>
        <w:t xml:space="preserve"> </w:t>
      </w:r>
      <w:r>
        <w:rPr>
          <w:rFonts w:hint="eastAsia" w:ascii="楷体" w:hAnsi="楷体" w:eastAsia="楷体" w:cs="楷体"/>
          <w:bCs/>
          <w:sz w:val="24"/>
        </w:rPr>
        <w:t>加快绿色低碳循环发展</w:t>
      </w:r>
      <w:r>
        <w:rPr>
          <w:sz w:val="24"/>
        </w:rPr>
        <w:tab/>
      </w:r>
      <w:r>
        <w:rPr>
          <w:sz w:val="24"/>
        </w:rPr>
        <w:fldChar w:fldCharType="begin"/>
      </w:r>
      <w:r>
        <w:rPr>
          <w:sz w:val="24"/>
        </w:rPr>
        <w:instrText xml:space="preserve"> PAGEREF _Toc19681 </w:instrText>
      </w:r>
      <w:r>
        <w:rPr>
          <w:sz w:val="24"/>
        </w:rPr>
        <w:fldChar w:fldCharType="separate"/>
      </w:r>
      <w:r>
        <w:rPr>
          <w:sz w:val="24"/>
        </w:rPr>
        <w:t>97</w:t>
      </w:r>
      <w:r>
        <w:rPr>
          <w:sz w:val="24"/>
        </w:rPr>
        <w:fldChar w:fldCharType="end"/>
      </w:r>
      <w:r>
        <w:rPr>
          <w:sz w:val="24"/>
        </w:rPr>
        <w:fldChar w:fldCharType="end"/>
      </w:r>
    </w:p>
    <w:p>
      <w:pPr>
        <w:pStyle w:val="13"/>
        <w:tabs>
          <w:tab w:val="right" w:leader="dot" w:pos="8306"/>
        </w:tabs>
        <w:spacing w:line="480" w:lineRule="exact"/>
        <w:rPr>
          <w:sz w:val="24"/>
        </w:rPr>
      </w:pPr>
      <w:r>
        <w:fldChar w:fldCharType="begin"/>
      </w:r>
      <w:r>
        <w:instrText xml:space="preserve"> HYPERLINK \l "_Toc5132" </w:instrText>
      </w:r>
      <w:r>
        <w:fldChar w:fldCharType="separate"/>
      </w:r>
      <w:r>
        <w:rPr>
          <w:rFonts w:hint="eastAsia" w:ascii="楷体" w:hAnsi="楷体" w:eastAsia="楷体" w:cs="楷体"/>
          <w:bCs/>
          <w:sz w:val="24"/>
        </w:rPr>
        <w:t>第二节</w:t>
      </w:r>
      <w:r>
        <w:rPr>
          <w:rFonts w:ascii="楷体" w:hAnsi="楷体" w:eastAsia="楷体" w:cs="楷体"/>
          <w:bCs/>
          <w:sz w:val="24"/>
        </w:rPr>
        <w:t xml:space="preserve"> </w:t>
      </w:r>
      <w:r>
        <w:rPr>
          <w:rFonts w:hint="eastAsia" w:ascii="楷体" w:hAnsi="楷体" w:eastAsia="楷体" w:cs="楷体"/>
          <w:bCs/>
          <w:sz w:val="24"/>
        </w:rPr>
        <w:t>推进资源节约集约利用</w:t>
      </w:r>
      <w:r>
        <w:rPr>
          <w:sz w:val="24"/>
        </w:rPr>
        <w:tab/>
      </w:r>
      <w:r>
        <w:rPr>
          <w:sz w:val="24"/>
        </w:rPr>
        <w:fldChar w:fldCharType="begin"/>
      </w:r>
      <w:r>
        <w:rPr>
          <w:sz w:val="24"/>
        </w:rPr>
        <w:instrText xml:space="preserve"> PAGEREF _Toc5132 </w:instrText>
      </w:r>
      <w:r>
        <w:rPr>
          <w:sz w:val="24"/>
        </w:rPr>
        <w:fldChar w:fldCharType="separate"/>
      </w:r>
      <w:r>
        <w:rPr>
          <w:sz w:val="24"/>
        </w:rPr>
        <w:t>98</w:t>
      </w:r>
      <w:r>
        <w:rPr>
          <w:sz w:val="24"/>
        </w:rPr>
        <w:fldChar w:fldCharType="end"/>
      </w:r>
      <w:r>
        <w:rPr>
          <w:sz w:val="24"/>
        </w:rPr>
        <w:fldChar w:fldCharType="end"/>
      </w:r>
    </w:p>
    <w:p>
      <w:pPr>
        <w:pStyle w:val="13"/>
        <w:tabs>
          <w:tab w:val="right" w:leader="dot" w:pos="8306"/>
        </w:tabs>
        <w:spacing w:line="480" w:lineRule="exact"/>
        <w:rPr>
          <w:sz w:val="24"/>
        </w:rPr>
      </w:pPr>
      <w:r>
        <w:fldChar w:fldCharType="begin"/>
      </w:r>
      <w:r>
        <w:instrText xml:space="preserve"> HYPERLINK \l "_Toc21589" </w:instrText>
      </w:r>
      <w:r>
        <w:fldChar w:fldCharType="separate"/>
      </w:r>
      <w:r>
        <w:rPr>
          <w:rFonts w:hint="eastAsia" w:ascii="楷体" w:hAnsi="楷体" w:eastAsia="楷体" w:cs="楷体"/>
          <w:bCs/>
          <w:sz w:val="24"/>
        </w:rPr>
        <w:t>第三节</w:t>
      </w:r>
      <w:r>
        <w:rPr>
          <w:rFonts w:ascii="楷体" w:hAnsi="楷体" w:eastAsia="楷体" w:cs="楷体"/>
          <w:bCs/>
          <w:sz w:val="24"/>
        </w:rPr>
        <w:t xml:space="preserve"> </w:t>
      </w:r>
      <w:r>
        <w:rPr>
          <w:rFonts w:hint="eastAsia" w:ascii="楷体" w:hAnsi="楷体" w:eastAsia="楷体" w:cs="楷体"/>
          <w:bCs/>
          <w:sz w:val="24"/>
        </w:rPr>
        <w:t>引导全民践行绿色生活</w:t>
      </w:r>
      <w:r>
        <w:rPr>
          <w:sz w:val="24"/>
        </w:rPr>
        <w:tab/>
      </w:r>
      <w:r>
        <w:rPr>
          <w:sz w:val="24"/>
        </w:rPr>
        <w:fldChar w:fldCharType="begin"/>
      </w:r>
      <w:r>
        <w:rPr>
          <w:sz w:val="24"/>
        </w:rPr>
        <w:instrText xml:space="preserve"> PAGEREF _Toc21589 </w:instrText>
      </w:r>
      <w:r>
        <w:rPr>
          <w:sz w:val="24"/>
        </w:rPr>
        <w:fldChar w:fldCharType="separate"/>
      </w:r>
      <w:r>
        <w:rPr>
          <w:sz w:val="24"/>
        </w:rPr>
        <w:t>100</w:t>
      </w:r>
      <w:r>
        <w:rPr>
          <w:sz w:val="24"/>
        </w:rPr>
        <w:fldChar w:fldCharType="end"/>
      </w:r>
      <w:r>
        <w:rPr>
          <w:sz w:val="24"/>
        </w:rPr>
        <w:fldChar w:fldCharType="end"/>
      </w:r>
    </w:p>
    <w:p>
      <w:pPr>
        <w:pStyle w:val="23"/>
        <w:tabs>
          <w:tab w:val="right" w:leader="dot" w:pos="8306"/>
        </w:tabs>
        <w:spacing w:line="480" w:lineRule="exact"/>
        <w:rPr>
          <w:sz w:val="24"/>
        </w:rPr>
      </w:pPr>
      <w:r>
        <w:fldChar w:fldCharType="begin"/>
      </w:r>
      <w:r>
        <w:instrText xml:space="preserve"> HYPERLINK \l "_Toc13897" </w:instrText>
      </w:r>
      <w:r>
        <w:fldChar w:fldCharType="separate"/>
      </w:r>
      <w:r>
        <w:rPr>
          <w:rFonts w:hint="eastAsia" w:ascii="黑体" w:hAnsi="黑体" w:eastAsia="黑体" w:cs="黑体"/>
          <w:sz w:val="24"/>
        </w:rPr>
        <w:t>第十六章</w:t>
      </w:r>
      <w:r>
        <w:rPr>
          <w:rFonts w:ascii="黑体" w:hAnsi="黑体" w:eastAsia="黑体" w:cs="黑体"/>
          <w:sz w:val="24"/>
        </w:rPr>
        <w:t xml:space="preserve"> </w:t>
      </w:r>
      <w:r>
        <w:rPr>
          <w:rFonts w:hint="eastAsia" w:ascii="黑体" w:hAnsi="黑体" w:eastAsia="黑体" w:cs="黑体"/>
          <w:sz w:val="24"/>
        </w:rPr>
        <w:t>打造美丽宜居生态城市</w:t>
      </w:r>
      <w:r>
        <w:rPr>
          <w:sz w:val="24"/>
        </w:rPr>
        <w:tab/>
      </w:r>
      <w:r>
        <w:rPr>
          <w:sz w:val="24"/>
        </w:rPr>
        <w:fldChar w:fldCharType="begin"/>
      </w:r>
      <w:r>
        <w:rPr>
          <w:sz w:val="24"/>
        </w:rPr>
        <w:instrText xml:space="preserve"> PAGEREF _Toc13897 </w:instrText>
      </w:r>
      <w:r>
        <w:rPr>
          <w:sz w:val="24"/>
        </w:rPr>
        <w:fldChar w:fldCharType="separate"/>
      </w:r>
      <w:r>
        <w:rPr>
          <w:sz w:val="24"/>
        </w:rPr>
        <w:t>101</w:t>
      </w:r>
      <w:r>
        <w:rPr>
          <w:sz w:val="24"/>
        </w:rPr>
        <w:fldChar w:fldCharType="end"/>
      </w:r>
      <w:r>
        <w:rPr>
          <w:sz w:val="24"/>
        </w:rPr>
        <w:fldChar w:fldCharType="end"/>
      </w:r>
    </w:p>
    <w:p>
      <w:pPr>
        <w:pStyle w:val="13"/>
        <w:tabs>
          <w:tab w:val="right" w:leader="dot" w:pos="8306"/>
        </w:tabs>
        <w:spacing w:line="480" w:lineRule="exact"/>
        <w:rPr>
          <w:sz w:val="24"/>
        </w:rPr>
      </w:pPr>
      <w:r>
        <w:fldChar w:fldCharType="begin"/>
      </w:r>
      <w:r>
        <w:instrText xml:space="preserve"> HYPERLINK \l "_Toc15219" </w:instrText>
      </w:r>
      <w:r>
        <w:fldChar w:fldCharType="separate"/>
      </w:r>
      <w:r>
        <w:rPr>
          <w:rFonts w:hint="eastAsia" w:ascii="楷体" w:hAnsi="楷体" w:eastAsia="楷体" w:cs="楷体"/>
          <w:bCs/>
          <w:sz w:val="24"/>
        </w:rPr>
        <w:t>第一节</w:t>
      </w:r>
      <w:r>
        <w:rPr>
          <w:rFonts w:ascii="楷体" w:hAnsi="楷体" w:eastAsia="楷体" w:cs="楷体"/>
          <w:bCs/>
          <w:sz w:val="24"/>
        </w:rPr>
        <w:t xml:space="preserve"> </w:t>
      </w:r>
      <w:r>
        <w:rPr>
          <w:rFonts w:hint="eastAsia" w:ascii="楷体" w:hAnsi="楷体" w:eastAsia="楷体" w:cs="楷体"/>
          <w:bCs/>
          <w:sz w:val="24"/>
        </w:rPr>
        <w:t>深入打好污染防治攻坚战</w:t>
      </w:r>
      <w:r>
        <w:rPr>
          <w:sz w:val="24"/>
        </w:rPr>
        <w:tab/>
      </w:r>
      <w:r>
        <w:rPr>
          <w:sz w:val="24"/>
        </w:rPr>
        <w:fldChar w:fldCharType="begin"/>
      </w:r>
      <w:r>
        <w:rPr>
          <w:sz w:val="24"/>
        </w:rPr>
        <w:instrText xml:space="preserve"> PAGEREF _Toc15219 </w:instrText>
      </w:r>
      <w:r>
        <w:rPr>
          <w:sz w:val="24"/>
        </w:rPr>
        <w:fldChar w:fldCharType="separate"/>
      </w:r>
      <w:r>
        <w:rPr>
          <w:sz w:val="24"/>
        </w:rPr>
        <w:t>101</w:t>
      </w:r>
      <w:r>
        <w:rPr>
          <w:sz w:val="24"/>
        </w:rPr>
        <w:fldChar w:fldCharType="end"/>
      </w:r>
      <w:r>
        <w:rPr>
          <w:sz w:val="24"/>
        </w:rPr>
        <w:fldChar w:fldCharType="end"/>
      </w:r>
    </w:p>
    <w:p>
      <w:pPr>
        <w:pStyle w:val="13"/>
        <w:tabs>
          <w:tab w:val="right" w:leader="dot" w:pos="8306"/>
        </w:tabs>
        <w:spacing w:line="480" w:lineRule="exact"/>
        <w:rPr>
          <w:sz w:val="24"/>
        </w:rPr>
      </w:pPr>
      <w:r>
        <w:fldChar w:fldCharType="begin"/>
      </w:r>
      <w:r>
        <w:instrText xml:space="preserve"> HYPERLINK \l "_Toc29254" </w:instrText>
      </w:r>
      <w:r>
        <w:fldChar w:fldCharType="separate"/>
      </w:r>
      <w:r>
        <w:rPr>
          <w:rFonts w:hint="eastAsia" w:ascii="楷体" w:hAnsi="楷体" w:eastAsia="楷体" w:cs="楷体"/>
          <w:bCs/>
          <w:sz w:val="24"/>
        </w:rPr>
        <w:t>第二节</w:t>
      </w:r>
      <w:r>
        <w:rPr>
          <w:rFonts w:ascii="楷体" w:hAnsi="楷体" w:eastAsia="楷体" w:cs="楷体"/>
          <w:bCs/>
          <w:sz w:val="24"/>
        </w:rPr>
        <w:t xml:space="preserve"> </w:t>
      </w:r>
      <w:r>
        <w:rPr>
          <w:rFonts w:hint="eastAsia" w:ascii="楷体" w:hAnsi="楷体" w:eastAsia="楷体" w:cs="楷体"/>
          <w:bCs/>
          <w:sz w:val="24"/>
        </w:rPr>
        <w:t>提升生态</w:t>
      </w:r>
      <w:r>
        <w:rPr>
          <w:rFonts w:hint="eastAsia" w:ascii="楷体_GB2312" w:hAnsi="楷体_GB2312" w:eastAsia="楷体_GB2312" w:cs="楷体_GB2312"/>
          <w:sz w:val="24"/>
        </w:rPr>
        <w:t>环境质量和生态系统</w:t>
      </w:r>
      <w:r>
        <w:rPr>
          <w:rFonts w:hint="eastAsia" w:ascii="楷体" w:hAnsi="楷体" w:eastAsia="楷体" w:cs="楷体"/>
          <w:bCs/>
          <w:sz w:val="24"/>
        </w:rPr>
        <w:t>稳定性</w:t>
      </w:r>
      <w:r>
        <w:rPr>
          <w:sz w:val="24"/>
        </w:rPr>
        <w:tab/>
      </w:r>
      <w:r>
        <w:rPr>
          <w:sz w:val="24"/>
        </w:rPr>
        <w:fldChar w:fldCharType="begin"/>
      </w:r>
      <w:r>
        <w:rPr>
          <w:sz w:val="24"/>
        </w:rPr>
        <w:instrText xml:space="preserve"> PAGEREF _Toc29254 </w:instrText>
      </w:r>
      <w:r>
        <w:rPr>
          <w:sz w:val="24"/>
        </w:rPr>
        <w:fldChar w:fldCharType="separate"/>
      </w:r>
      <w:r>
        <w:rPr>
          <w:sz w:val="24"/>
        </w:rPr>
        <w:t>103</w:t>
      </w:r>
      <w:r>
        <w:rPr>
          <w:sz w:val="24"/>
        </w:rPr>
        <w:fldChar w:fldCharType="end"/>
      </w:r>
      <w:r>
        <w:rPr>
          <w:sz w:val="24"/>
        </w:rPr>
        <w:fldChar w:fldCharType="end"/>
      </w:r>
    </w:p>
    <w:p>
      <w:pPr>
        <w:pStyle w:val="13"/>
        <w:tabs>
          <w:tab w:val="right" w:leader="dot" w:pos="8306"/>
        </w:tabs>
        <w:spacing w:line="480" w:lineRule="exact"/>
        <w:rPr>
          <w:sz w:val="24"/>
        </w:rPr>
      </w:pPr>
      <w:r>
        <w:fldChar w:fldCharType="begin"/>
      </w:r>
      <w:r>
        <w:instrText xml:space="preserve"> HYPERLINK \l "_Toc32037" </w:instrText>
      </w:r>
      <w:r>
        <w:fldChar w:fldCharType="separate"/>
      </w:r>
      <w:r>
        <w:rPr>
          <w:rFonts w:hint="eastAsia" w:ascii="楷体" w:hAnsi="楷体" w:eastAsia="楷体" w:cs="楷体"/>
          <w:bCs/>
          <w:sz w:val="24"/>
        </w:rPr>
        <w:t>第三节</w:t>
      </w:r>
      <w:r>
        <w:rPr>
          <w:rFonts w:ascii="楷体" w:hAnsi="楷体" w:eastAsia="楷体" w:cs="楷体"/>
          <w:bCs/>
          <w:sz w:val="24"/>
        </w:rPr>
        <w:t xml:space="preserve"> </w:t>
      </w:r>
      <w:r>
        <w:rPr>
          <w:rFonts w:hint="eastAsia" w:ascii="楷体" w:hAnsi="楷体" w:eastAsia="楷体" w:cs="楷体"/>
          <w:bCs/>
          <w:sz w:val="24"/>
        </w:rPr>
        <w:t>努力实现生态环境治理体系和治理能力现代化</w:t>
      </w:r>
      <w:r>
        <w:rPr>
          <w:sz w:val="24"/>
        </w:rPr>
        <w:tab/>
      </w:r>
      <w:r>
        <w:rPr>
          <w:sz w:val="24"/>
        </w:rPr>
        <w:fldChar w:fldCharType="begin"/>
      </w:r>
      <w:r>
        <w:rPr>
          <w:sz w:val="24"/>
        </w:rPr>
        <w:instrText xml:space="preserve"> PAGEREF _Toc32037 </w:instrText>
      </w:r>
      <w:r>
        <w:rPr>
          <w:sz w:val="24"/>
        </w:rPr>
        <w:fldChar w:fldCharType="separate"/>
      </w:r>
      <w:r>
        <w:rPr>
          <w:sz w:val="24"/>
        </w:rPr>
        <w:t>104</w:t>
      </w:r>
      <w:r>
        <w:rPr>
          <w:sz w:val="24"/>
        </w:rPr>
        <w:fldChar w:fldCharType="end"/>
      </w:r>
      <w:r>
        <w:rPr>
          <w:sz w:val="24"/>
        </w:rPr>
        <w:fldChar w:fldCharType="end"/>
      </w:r>
    </w:p>
    <w:p>
      <w:pPr>
        <w:pStyle w:val="19"/>
        <w:tabs>
          <w:tab w:val="right" w:leader="dot" w:pos="8306"/>
        </w:tabs>
        <w:spacing w:line="480" w:lineRule="exact"/>
        <w:rPr>
          <w:sz w:val="24"/>
        </w:rPr>
      </w:pPr>
      <w:r>
        <w:fldChar w:fldCharType="begin"/>
      </w:r>
      <w:r>
        <w:instrText xml:space="preserve"> HYPERLINK \l "_Toc4882" </w:instrText>
      </w:r>
      <w:r>
        <w:fldChar w:fldCharType="separate"/>
      </w:r>
      <w:r>
        <w:rPr>
          <w:rFonts w:hint="eastAsia" w:ascii="黑体" w:hAnsi="黑体" w:eastAsia="黑体" w:cs="黑体"/>
          <w:sz w:val="24"/>
        </w:rPr>
        <w:t>第八篇 率先营造彰显公平正义的民主法治环境</w:t>
      </w:r>
      <w:r>
        <w:rPr>
          <w:sz w:val="24"/>
        </w:rPr>
        <w:tab/>
      </w:r>
      <w:r>
        <w:rPr>
          <w:sz w:val="24"/>
        </w:rPr>
        <w:fldChar w:fldCharType="begin"/>
      </w:r>
      <w:r>
        <w:rPr>
          <w:sz w:val="24"/>
        </w:rPr>
        <w:instrText xml:space="preserve"> PAGEREF _Toc4882 </w:instrText>
      </w:r>
      <w:r>
        <w:rPr>
          <w:sz w:val="24"/>
        </w:rPr>
        <w:fldChar w:fldCharType="separate"/>
      </w:r>
      <w:r>
        <w:rPr>
          <w:sz w:val="24"/>
        </w:rPr>
        <w:t>106</w:t>
      </w:r>
      <w:r>
        <w:rPr>
          <w:sz w:val="24"/>
        </w:rPr>
        <w:fldChar w:fldCharType="end"/>
      </w:r>
      <w:r>
        <w:rPr>
          <w:sz w:val="24"/>
        </w:rPr>
        <w:fldChar w:fldCharType="end"/>
      </w:r>
    </w:p>
    <w:p>
      <w:pPr>
        <w:pStyle w:val="23"/>
        <w:tabs>
          <w:tab w:val="right" w:leader="dot" w:pos="8306"/>
        </w:tabs>
        <w:spacing w:line="480" w:lineRule="exact"/>
        <w:rPr>
          <w:sz w:val="24"/>
        </w:rPr>
      </w:pPr>
      <w:r>
        <w:fldChar w:fldCharType="begin"/>
      </w:r>
      <w:r>
        <w:instrText xml:space="preserve"> HYPERLINK \l "_Toc31321" </w:instrText>
      </w:r>
      <w:r>
        <w:fldChar w:fldCharType="separate"/>
      </w:r>
      <w:r>
        <w:rPr>
          <w:rFonts w:hint="eastAsia" w:ascii="黑体" w:hAnsi="黑体" w:eastAsia="黑体" w:cs="黑体"/>
          <w:sz w:val="24"/>
        </w:rPr>
        <w:t>第十七章 建设中国特色社会主义法治示范城市</w:t>
      </w:r>
      <w:r>
        <w:rPr>
          <w:sz w:val="24"/>
        </w:rPr>
        <w:tab/>
      </w:r>
      <w:r>
        <w:rPr>
          <w:sz w:val="24"/>
        </w:rPr>
        <w:fldChar w:fldCharType="begin"/>
      </w:r>
      <w:r>
        <w:rPr>
          <w:sz w:val="24"/>
        </w:rPr>
        <w:instrText xml:space="preserve"> PAGEREF _Toc31321 </w:instrText>
      </w:r>
      <w:r>
        <w:rPr>
          <w:sz w:val="24"/>
        </w:rPr>
        <w:fldChar w:fldCharType="separate"/>
      </w:r>
      <w:r>
        <w:rPr>
          <w:sz w:val="24"/>
        </w:rPr>
        <w:t>106</w:t>
      </w:r>
      <w:r>
        <w:rPr>
          <w:sz w:val="24"/>
        </w:rPr>
        <w:fldChar w:fldCharType="end"/>
      </w:r>
      <w:r>
        <w:rPr>
          <w:sz w:val="24"/>
        </w:rPr>
        <w:fldChar w:fldCharType="end"/>
      </w:r>
    </w:p>
    <w:p>
      <w:pPr>
        <w:pStyle w:val="13"/>
        <w:tabs>
          <w:tab w:val="right" w:leader="dot" w:pos="8306"/>
        </w:tabs>
        <w:spacing w:line="480" w:lineRule="exact"/>
        <w:rPr>
          <w:sz w:val="24"/>
        </w:rPr>
      </w:pPr>
      <w:r>
        <w:fldChar w:fldCharType="begin"/>
      </w:r>
      <w:r>
        <w:instrText xml:space="preserve"> HYPERLINK \l "_Toc9036" </w:instrText>
      </w:r>
      <w:r>
        <w:fldChar w:fldCharType="separate"/>
      </w:r>
      <w:r>
        <w:rPr>
          <w:rFonts w:hint="eastAsia" w:ascii="楷体" w:hAnsi="楷体" w:eastAsia="楷体" w:cs="楷体"/>
          <w:bCs/>
          <w:sz w:val="24"/>
        </w:rPr>
        <w:t>第一节 用足用好深圳经济特区立法权</w:t>
      </w:r>
      <w:r>
        <w:rPr>
          <w:sz w:val="24"/>
        </w:rPr>
        <w:tab/>
      </w:r>
      <w:r>
        <w:rPr>
          <w:sz w:val="24"/>
        </w:rPr>
        <w:fldChar w:fldCharType="begin"/>
      </w:r>
      <w:r>
        <w:rPr>
          <w:sz w:val="24"/>
        </w:rPr>
        <w:instrText xml:space="preserve"> PAGEREF _Toc9036 </w:instrText>
      </w:r>
      <w:r>
        <w:rPr>
          <w:sz w:val="24"/>
        </w:rPr>
        <w:fldChar w:fldCharType="separate"/>
      </w:r>
      <w:r>
        <w:rPr>
          <w:sz w:val="24"/>
        </w:rPr>
        <w:t>106</w:t>
      </w:r>
      <w:r>
        <w:rPr>
          <w:sz w:val="24"/>
        </w:rPr>
        <w:fldChar w:fldCharType="end"/>
      </w:r>
      <w:r>
        <w:rPr>
          <w:sz w:val="24"/>
        </w:rPr>
        <w:fldChar w:fldCharType="end"/>
      </w:r>
    </w:p>
    <w:p>
      <w:pPr>
        <w:pStyle w:val="13"/>
        <w:tabs>
          <w:tab w:val="right" w:leader="dot" w:pos="8306"/>
        </w:tabs>
        <w:spacing w:line="480" w:lineRule="exact"/>
        <w:rPr>
          <w:sz w:val="24"/>
        </w:rPr>
      </w:pPr>
      <w:r>
        <w:fldChar w:fldCharType="begin"/>
      </w:r>
      <w:r>
        <w:instrText xml:space="preserve"> HYPERLINK \l "_Toc21797" </w:instrText>
      </w:r>
      <w:r>
        <w:fldChar w:fldCharType="separate"/>
      </w:r>
      <w:r>
        <w:rPr>
          <w:rFonts w:hint="eastAsia" w:ascii="楷体" w:hAnsi="楷体" w:eastAsia="楷体" w:cs="楷体"/>
          <w:bCs/>
          <w:sz w:val="24"/>
        </w:rPr>
        <w:t>第二节 建设一流法治政府</w:t>
      </w:r>
      <w:r>
        <w:rPr>
          <w:sz w:val="24"/>
        </w:rPr>
        <w:tab/>
      </w:r>
      <w:r>
        <w:rPr>
          <w:sz w:val="24"/>
        </w:rPr>
        <w:fldChar w:fldCharType="begin"/>
      </w:r>
      <w:r>
        <w:rPr>
          <w:sz w:val="24"/>
        </w:rPr>
        <w:instrText xml:space="preserve"> PAGEREF _Toc21797 </w:instrText>
      </w:r>
      <w:r>
        <w:rPr>
          <w:sz w:val="24"/>
        </w:rPr>
        <w:fldChar w:fldCharType="separate"/>
      </w:r>
      <w:r>
        <w:rPr>
          <w:sz w:val="24"/>
        </w:rPr>
        <w:t>107</w:t>
      </w:r>
      <w:r>
        <w:rPr>
          <w:sz w:val="24"/>
        </w:rPr>
        <w:fldChar w:fldCharType="end"/>
      </w:r>
      <w:r>
        <w:rPr>
          <w:sz w:val="24"/>
        </w:rPr>
        <w:fldChar w:fldCharType="end"/>
      </w:r>
    </w:p>
    <w:p>
      <w:pPr>
        <w:pStyle w:val="13"/>
        <w:tabs>
          <w:tab w:val="right" w:leader="dot" w:pos="8306"/>
        </w:tabs>
        <w:spacing w:line="480" w:lineRule="exact"/>
        <w:rPr>
          <w:sz w:val="24"/>
        </w:rPr>
      </w:pPr>
      <w:r>
        <w:fldChar w:fldCharType="begin"/>
      </w:r>
      <w:r>
        <w:instrText xml:space="preserve"> HYPERLINK \l "_Toc7353" </w:instrText>
      </w:r>
      <w:r>
        <w:fldChar w:fldCharType="separate"/>
      </w:r>
      <w:r>
        <w:rPr>
          <w:rFonts w:hint="eastAsia" w:ascii="楷体" w:hAnsi="楷体" w:eastAsia="楷体" w:cs="楷体"/>
          <w:bCs/>
          <w:sz w:val="24"/>
        </w:rPr>
        <w:t>第三节 全面提升司法公信力</w:t>
      </w:r>
      <w:r>
        <w:rPr>
          <w:sz w:val="24"/>
        </w:rPr>
        <w:tab/>
      </w:r>
      <w:r>
        <w:rPr>
          <w:sz w:val="24"/>
        </w:rPr>
        <w:fldChar w:fldCharType="begin"/>
      </w:r>
      <w:r>
        <w:rPr>
          <w:sz w:val="24"/>
        </w:rPr>
        <w:instrText xml:space="preserve"> PAGEREF _Toc7353 </w:instrText>
      </w:r>
      <w:r>
        <w:rPr>
          <w:sz w:val="24"/>
        </w:rPr>
        <w:fldChar w:fldCharType="separate"/>
      </w:r>
      <w:r>
        <w:rPr>
          <w:sz w:val="24"/>
        </w:rPr>
        <w:t>108</w:t>
      </w:r>
      <w:r>
        <w:rPr>
          <w:sz w:val="24"/>
        </w:rPr>
        <w:fldChar w:fldCharType="end"/>
      </w:r>
      <w:r>
        <w:rPr>
          <w:sz w:val="24"/>
        </w:rPr>
        <w:fldChar w:fldCharType="end"/>
      </w:r>
    </w:p>
    <w:p>
      <w:pPr>
        <w:pStyle w:val="13"/>
        <w:tabs>
          <w:tab w:val="right" w:leader="dot" w:pos="8306"/>
        </w:tabs>
        <w:spacing w:line="480" w:lineRule="exact"/>
        <w:rPr>
          <w:sz w:val="24"/>
        </w:rPr>
      </w:pPr>
      <w:r>
        <w:fldChar w:fldCharType="begin"/>
      </w:r>
      <w:r>
        <w:instrText xml:space="preserve"> HYPERLINK \l "_Toc5796" </w:instrText>
      </w:r>
      <w:r>
        <w:fldChar w:fldCharType="separate"/>
      </w:r>
      <w:r>
        <w:rPr>
          <w:rFonts w:hint="eastAsia" w:ascii="楷体" w:hAnsi="楷体" w:eastAsia="楷体" w:cs="楷体"/>
          <w:bCs/>
          <w:sz w:val="24"/>
        </w:rPr>
        <w:t>第四节 创建模范法治社会</w:t>
      </w:r>
      <w:r>
        <w:rPr>
          <w:sz w:val="24"/>
        </w:rPr>
        <w:tab/>
      </w:r>
      <w:r>
        <w:rPr>
          <w:sz w:val="24"/>
        </w:rPr>
        <w:fldChar w:fldCharType="begin"/>
      </w:r>
      <w:r>
        <w:rPr>
          <w:sz w:val="24"/>
        </w:rPr>
        <w:instrText xml:space="preserve"> PAGEREF _Toc5796 </w:instrText>
      </w:r>
      <w:r>
        <w:rPr>
          <w:sz w:val="24"/>
        </w:rPr>
        <w:fldChar w:fldCharType="separate"/>
      </w:r>
      <w:r>
        <w:rPr>
          <w:sz w:val="24"/>
        </w:rPr>
        <w:t>110</w:t>
      </w:r>
      <w:r>
        <w:rPr>
          <w:sz w:val="24"/>
        </w:rPr>
        <w:fldChar w:fldCharType="end"/>
      </w:r>
      <w:r>
        <w:rPr>
          <w:sz w:val="24"/>
        </w:rPr>
        <w:fldChar w:fldCharType="end"/>
      </w:r>
    </w:p>
    <w:p>
      <w:pPr>
        <w:pStyle w:val="13"/>
        <w:tabs>
          <w:tab w:val="right" w:leader="dot" w:pos="8306"/>
        </w:tabs>
        <w:spacing w:line="480" w:lineRule="exact"/>
        <w:rPr>
          <w:sz w:val="24"/>
        </w:rPr>
      </w:pPr>
      <w:r>
        <w:fldChar w:fldCharType="begin"/>
      </w:r>
      <w:r>
        <w:instrText xml:space="preserve"> HYPERLINK \l "_Toc6176" </w:instrText>
      </w:r>
      <w:r>
        <w:fldChar w:fldCharType="separate"/>
      </w:r>
      <w:r>
        <w:rPr>
          <w:rFonts w:hint="eastAsia" w:ascii="楷体" w:hAnsi="楷体" w:eastAsia="楷体" w:cs="楷体"/>
          <w:bCs/>
          <w:sz w:val="24"/>
        </w:rPr>
        <w:t>第五节 全面加强民主政治建设</w:t>
      </w:r>
      <w:r>
        <w:rPr>
          <w:sz w:val="24"/>
        </w:rPr>
        <w:tab/>
      </w:r>
      <w:r>
        <w:rPr>
          <w:sz w:val="24"/>
        </w:rPr>
        <w:fldChar w:fldCharType="begin"/>
      </w:r>
      <w:r>
        <w:rPr>
          <w:sz w:val="24"/>
        </w:rPr>
        <w:instrText xml:space="preserve"> PAGEREF _Toc6176 </w:instrText>
      </w:r>
      <w:r>
        <w:rPr>
          <w:sz w:val="24"/>
        </w:rPr>
        <w:fldChar w:fldCharType="separate"/>
      </w:r>
      <w:r>
        <w:rPr>
          <w:sz w:val="24"/>
        </w:rPr>
        <w:t>110</w:t>
      </w:r>
      <w:r>
        <w:rPr>
          <w:sz w:val="24"/>
        </w:rPr>
        <w:fldChar w:fldCharType="end"/>
      </w:r>
      <w:r>
        <w:rPr>
          <w:sz w:val="24"/>
        </w:rPr>
        <w:fldChar w:fldCharType="end"/>
      </w:r>
    </w:p>
    <w:p>
      <w:pPr>
        <w:pStyle w:val="19"/>
        <w:tabs>
          <w:tab w:val="right" w:leader="dot" w:pos="8306"/>
        </w:tabs>
        <w:spacing w:line="480" w:lineRule="exact"/>
        <w:rPr>
          <w:sz w:val="24"/>
        </w:rPr>
      </w:pPr>
      <w:r>
        <w:fldChar w:fldCharType="begin"/>
      </w:r>
      <w:r>
        <w:instrText xml:space="preserve"> HYPERLINK \l "_Toc25189" </w:instrText>
      </w:r>
      <w:r>
        <w:fldChar w:fldCharType="separate"/>
      </w:r>
      <w:r>
        <w:rPr>
          <w:rFonts w:hint="eastAsia" w:ascii="黑体" w:hAnsi="黑体" w:eastAsia="黑体" w:cs="黑体"/>
          <w:sz w:val="24"/>
        </w:rPr>
        <w:t>第九篇 提高统筹发展和安全的能力</w:t>
      </w:r>
      <w:r>
        <w:rPr>
          <w:sz w:val="24"/>
        </w:rPr>
        <w:tab/>
      </w:r>
      <w:r>
        <w:rPr>
          <w:sz w:val="24"/>
        </w:rPr>
        <w:fldChar w:fldCharType="begin"/>
      </w:r>
      <w:r>
        <w:rPr>
          <w:sz w:val="24"/>
        </w:rPr>
        <w:instrText xml:space="preserve"> PAGEREF _Toc25189 </w:instrText>
      </w:r>
      <w:r>
        <w:rPr>
          <w:sz w:val="24"/>
        </w:rPr>
        <w:fldChar w:fldCharType="separate"/>
      </w:r>
      <w:r>
        <w:rPr>
          <w:sz w:val="24"/>
        </w:rPr>
        <w:t>112</w:t>
      </w:r>
      <w:r>
        <w:rPr>
          <w:sz w:val="24"/>
        </w:rPr>
        <w:fldChar w:fldCharType="end"/>
      </w:r>
      <w:r>
        <w:rPr>
          <w:sz w:val="24"/>
        </w:rPr>
        <w:fldChar w:fldCharType="end"/>
      </w:r>
    </w:p>
    <w:p>
      <w:pPr>
        <w:pStyle w:val="23"/>
        <w:tabs>
          <w:tab w:val="right" w:leader="dot" w:pos="8306"/>
        </w:tabs>
        <w:spacing w:line="480" w:lineRule="exact"/>
        <w:rPr>
          <w:sz w:val="24"/>
        </w:rPr>
      </w:pPr>
      <w:r>
        <w:fldChar w:fldCharType="begin"/>
      </w:r>
      <w:r>
        <w:instrText xml:space="preserve"> HYPERLINK \l "_Toc10101" </w:instrText>
      </w:r>
      <w:r>
        <w:fldChar w:fldCharType="separate"/>
      </w:r>
      <w:r>
        <w:rPr>
          <w:rFonts w:hint="eastAsia" w:ascii="黑体" w:hAnsi="黑体" w:eastAsia="黑体" w:cs="黑体"/>
          <w:sz w:val="24"/>
        </w:rPr>
        <w:t>第十八章 建设更具韧性的安全城市</w:t>
      </w:r>
      <w:r>
        <w:rPr>
          <w:sz w:val="24"/>
        </w:rPr>
        <w:tab/>
      </w:r>
      <w:r>
        <w:rPr>
          <w:sz w:val="24"/>
        </w:rPr>
        <w:fldChar w:fldCharType="begin"/>
      </w:r>
      <w:r>
        <w:rPr>
          <w:sz w:val="24"/>
        </w:rPr>
        <w:instrText xml:space="preserve"> PAGEREF _Toc10101 </w:instrText>
      </w:r>
      <w:r>
        <w:rPr>
          <w:sz w:val="24"/>
        </w:rPr>
        <w:fldChar w:fldCharType="separate"/>
      </w:r>
      <w:r>
        <w:rPr>
          <w:sz w:val="24"/>
        </w:rPr>
        <w:t>112</w:t>
      </w:r>
      <w:r>
        <w:rPr>
          <w:sz w:val="24"/>
        </w:rPr>
        <w:fldChar w:fldCharType="end"/>
      </w:r>
      <w:r>
        <w:rPr>
          <w:sz w:val="24"/>
        </w:rPr>
        <w:fldChar w:fldCharType="end"/>
      </w:r>
    </w:p>
    <w:p>
      <w:pPr>
        <w:pStyle w:val="13"/>
        <w:tabs>
          <w:tab w:val="right" w:leader="dot" w:pos="8306"/>
        </w:tabs>
        <w:spacing w:line="480" w:lineRule="exact"/>
        <w:rPr>
          <w:sz w:val="24"/>
        </w:rPr>
      </w:pPr>
      <w:r>
        <w:fldChar w:fldCharType="begin"/>
      </w:r>
      <w:r>
        <w:instrText xml:space="preserve"> HYPERLINK \l "_Toc27185" </w:instrText>
      </w:r>
      <w:r>
        <w:fldChar w:fldCharType="separate"/>
      </w:r>
      <w:r>
        <w:rPr>
          <w:rFonts w:hint="eastAsia" w:ascii="楷体" w:hAnsi="楷体" w:eastAsia="楷体" w:cs="楷体"/>
          <w:bCs/>
          <w:sz w:val="24"/>
        </w:rPr>
        <w:t>第一节 加强城市生命线系统建设</w:t>
      </w:r>
      <w:r>
        <w:rPr>
          <w:sz w:val="24"/>
        </w:rPr>
        <w:tab/>
      </w:r>
      <w:r>
        <w:rPr>
          <w:sz w:val="24"/>
        </w:rPr>
        <w:fldChar w:fldCharType="begin"/>
      </w:r>
      <w:r>
        <w:rPr>
          <w:sz w:val="24"/>
        </w:rPr>
        <w:instrText xml:space="preserve"> PAGEREF _Toc27185 </w:instrText>
      </w:r>
      <w:r>
        <w:rPr>
          <w:sz w:val="24"/>
        </w:rPr>
        <w:fldChar w:fldCharType="separate"/>
      </w:r>
      <w:r>
        <w:rPr>
          <w:sz w:val="24"/>
        </w:rPr>
        <w:t>112</w:t>
      </w:r>
      <w:r>
        <w:rPr>
          <w:sz w:val="24"/>
        </w:rPr>
        <w:fldChar w:fldCharType="end"/>
      </w:r>
      <w:r>
        <w:rPr>
          <w:sz w:val="24"/>
        </w:rPr>
        <w:fldChar w:fldCharType="end"/>
      </w:r>
    </w:p>
    <w:p>
      <w:pPr>
        <w:pStyle w:val="13"/>
        <w:tabs>
          <w:tab w:val="right" w:leader="dot" w:pos="8306"/>
        </w:tabs>
        <w:spacing w:line="480" w:lineRule="exact"/>
        <w:rPr>
          <w:sz w:val="24"/>
        </w:rPr>
      </w:pPr>
      <w:r>
        <w:fldChar w:fldCharType="begin"/>
      </w:r>
      <w:r>
        <w:instrText xml:space="preserve"> HYPERLINK \l "_Toc2276" </w:instrText>
      </w:r>
      <w:r>
        <w:fldChar w:fldCharType="separate"/>
      </w:r>
      <w:r>
        <w:rPr>
          <w:rFonts w:hint="eastAsia" w:ascii="楷体" w:hAnsi="楷体" w:eastAsia="楷体" w:cs="楷体"/>
          <w:bCs/>
          <w:sz w:val="24"/>
        </w:rPr>
        <w:t>第二节 夯实城市安全基础</w:t>
      </w:r>
      <w:r>
        <w:rPr>
          <w:sz w:val="24"/>
        </w:rPr>
        <w:tab/>
      </w:r>
      <w:r>
        <w:rPr>
          <w:sz w:val="24"/>
        </w:rPr>
        <w:fldChar w:fldCharType="begin"/>
      </w:r>
      <w:r>
        <w:rPr>
          <w:sz w:val="24"/>
        </w:rPr>
        <w:instrText xml:space="preserve"> PAGEREF _Toc2276 </w:instrText>
      </w:r>
      <w:r>
        <w:rPr>
          <w:sz w:val="24"/>
        </w:rPr>
        <w:fldChar w:fldCharType="separate"/>
      </w:r>
      <w:r>
        <w:rPr>
          <w:sz w:val="24"/>
        </w:rPr>
        <w:t>114</w:t>
      </w:r>
      <w:r>
        <w:rPr>
          <w:sz w:val="24"/>
        </w:rPr>
        <w:fldChar w:fldCharType="end"/>
      </w:r>
      <w:r>
        <w:rPr>
          <w:sz w:val="24"/>
        </w:rPr>
        <w:fldChar w:fldCharType="end"/>
      </w:r>
    </w:p>
    <w:p>
      <w:pPr>
        <w:pStyle w:val="13"/>
        <w:tabs>
          <w:tab w:val="right" w:leader="dot" w:pos="8306"/>
        </w:tabs>
        <w:spacing w:line="480" w:lineRule="exact"/>
        <w:rPr>
          <w:sz w:val="24"/>
        </w:rPr>
      </w:pPr>
      <w:r>
        <w:fldChar w:fldCharType="begin"/>
      </w:r>
      <w:r>
        <w:instrText xml:space="preserve"> HYPERLINK \l "_Toc14797" </w:instrText>
      </w:r>
      <w:r>
        <w:fldChar w:fldCharType="separate"/>
      </w:r>
      <w:r>
        <w:rPr>
          <w:rFonts w:hint="eastAsia" w:ascii="楷体" w:hAnsi="楷体" w:eastAsia="楷体" w:cs="楷体"/>
          <w:bCs/>
          <w:sz w:val="24"/>
        </w:rPr>
        <w:t>第三节 提升应急救援能力</w:t>
      </w:r>
      <w:r>
        <w:rPr>
          <w:sz w:val="24"/>
        </w:rPr>
        <w:tab/>
      </w:r>
      <w:r>
        <w:rPr>
          <w:sz w:val="24"/>
        </w:rPr>
        <w:fldChar w:fldCharType="begin"/>
      </w:r>
      <w:r>
        <w:rPr>
          <w:sz w:val="24"/>
        </w:rPr>
        <w:instrText xml:space="preserve"> PAGEREF _Toc14797 </w:instrText>
      </w:r>
      <w:r>
        <w:rPr>
          <w:sz w:val="24"/>
        </w:rPr>
        <w:fldChar w:fldCharType="separate"/>
      </w:r>
      <w:r>
        <w:rPr>
          <w:sz w:val="24"/>
        </w:rPr>
        <w:t>115</w:t>
      </w:r>
      <w:r>
        <w:rPr>
          <w:sz w:val="24"/>
        </w:rPr>
        <w:fldChar w:fldCharType="end"/>
      </w:r>
      <w:r>
        <w:rPr>
          <w:sz w:val="24"/>
        </w:rPr>
        <w:fldChar w:fldCharType="end"/>
      </w:r>
    </w:p>
    <w:p>
      <w:pPr>
        <w:pStyle w:val="13"/>
        <w:tabs>
          <w:tab w:val="right" w:leader="dot" w:pos="8306"/>
        </w:tabs>
        <w:spacing w:line="480" w:lineRule="exact"/>
        <w:rPr>
          <w:sz w:val="24"/>
        </w:rPr>
      </w:pPr>
      <w:r>
        <w:fldChar w:fldCharType="begin"/>
      </w:r>
      <w:r>
        <w:instrText xml:space="preserve"> HYPERLINK \l "_Toc31484" </w:instrText>
      </w:r>
      <w:r>
        <w:fldChar w:fldCharType="separate"/>
      </w:r>
      <w:r>
        <w:rPr>
          <w:rFonts w:hint="eastAsia" w:ascii="楷体" w:hAnsi="楷体" w:eastAsia="楷体" w:cs="楷体"/>
          <w:bCs/>
          <w:sz w:val="24"/>
        </w:rPr>
        <w:t>第四节 全力保障食品药品生物安全</w:t>
      </w:r>
      <w:r>
        <w:rPr>
          <w:sz w:val="24"/>
        </w:rPr>
        <w:tab/>
      </w:r>
      <w:r>
        <w:rPr>
          <w:sz w:val="24"/>
        </w:rPr>
        <w:fldChar w:fldCharType="begin"/>
      </w:r>
      <w:r>
        <w:rPr>
          <w:sz w:val="24"/>
        </w:rPr>
        <w:instrText xml:space="preserve"> PAGEREF _Toc31484 </w:instrText>
      </w:r>
      <w:r>
        <w:rPr>
          <w:sz w:val="24"/>
        </w:rPr>
        <w:fldChar w:fldCharType="separate"/>
      </w:r>
      <w:r>
        <w:rPr>
          <w:sz w:val="24"/>
        </w:rPr>
        <w:t>117</w:t>
      </w:r>
      <w:r>
        <w:rPr>
          <w:sz w:val="24"/>
        </w:rPr>
        <w:fldChar w:fldCharType="end"/>
      </w:r>
      <w:r>
        <w:rPr>
          <w:sz w:val="24"/>
        </w:rPr>
        <w:fldChar w:fldCharType="end"/>
      </w:r>
    </w:p>
    <w:p>
      <w:pPr>
        <w:pStyle w:val="13"/>
        <w:tabs>
          <w:tab w:val="right" w:leader="dot" w:pos="8306"/>
        </w:tabs>
        <w:spacing w:line="480" w:lineRule="exact"/>
        <w:rPr>
          <w:sz w:val="24"/>
        </w:rPr>
      </w:pPr>
      <w:r>
        <w:fldChar w:fldCharType="begin"/>
      </w:r>
      <w:r>
        <w:instrText xml:space="preserve"> HYPERLINK \l "_Toc2784" </w:instrText>
      </w:r>
      <w:r>
        <w:fldChar w:fldCharType="separate"/>
      </w:r>
      <w:r>
        <w:rPr>
          <w:rFonts w:hint="eastAsia" w:ascii="楷体" w:hAnsi="楷体" w:eastAsia="楷体" w:cs="楷体"/>
          <w:bCs/>
          <w:sz w:val="24"/>
        </w:rPr>
        <w:t>第五节 维护社会稳定和加强经济安全</w:t>
      </w:r>
      <w:r>
        <w:rPr>
          <w:sz w:val="24"/>
        </w:rPr>
        <w:tab/>
      </w:r>
      <w:r>
        <w:rPr>
          <w:sz w:val="24"/>
        </w:rPr>
        <w:fldChar w:fldCharType="begin"/>
      </w:r>
      <w:r>
        <w:rPr>
          <w:sz w:val="24"/>
        </w:rPr>
        <w:instrText xml:space="preserve"> PAGEREF _Toc2784 </w:instrText>
      </w:r>
      <w:r>
        <w:rPr>
          <w:sz w:val="24"/>
        </w:rPr>
        <w:fldChar w:fldCharType="separate"/>
      </w:r>
      <w:r>
        <w:rPr>
          <w:sz w:val="24"/>
        </w:rPr>
        <w:t>118</w:t>
      </w:r>
      <w:r>
        <w:rPr>
          <w:sz w:val="24"/>
        </w:rPr>
        <w:fldChar w:fldCharType="end"/>
      </w:r>
      <w:r>
        <w:rPr>
          <w:sz w:val="24"/>
        </w:rPr>
        <w:fldChar w:fldCharType="end"/>
      </w:r>
    </w:p>
    <w:p>
      <w:pPr>
        <w:pStyle w:val="19"/>
        <w:tabs>
          <w:tab w:val="right" w:leader="dot" w:pos="8306"/>
        </w:tabs>
        <w:spacing w:line="480" w:lineRule="exact"/>
        <w:rPr>
          <w:sz w:val="24"/>
        </w:rPr>
      </w:pPr>
      <w:r>
        <w:fldChar w:fldCharType="begin"/>
      </w:r>
      <w:r>
        <w:instrText xml:space="preserve"> HYPERLINK \l "_Toc13133" </w:instrText>
      </w:r>
      <w:r>
        <w:fldChar w:fldCharType="separate"/>
      </w:r>
      <w:r>
        <w:rPr>
          <w:rFonts w:hint="eastAsia" w:ascii="黑体" w:hAnsi="黑体" w:eastAsia="黑体" w:cs="黑体"/>
          <w:sz w:val="24"/>
        </w:rPr>
        <w:t>第十篇 凝心聚力推动深圳先行示范区美好蓝图变为现实</w:t>
      </w:r>
      <w:r>
        <w:rPr>
          <w:sz w:val="24"/>
        </w:rPr>
        <w:tab/>
      </w:r>
      <w:r>
        <w:rPr>
          <w:sz w:val="24"/>
        </w:rPr>
        <w:fldChar w:fldCharType="begin"/>
      </w:r>
      <w:r>
        <w:rPr>
          <w:sz w:val="24"/>
        </w:rPr>
        <w:instrText xml:space="preserve"> PAGEREF _Toc13133 </w:instrText>
      </w:r>
      <w:r>
        <w:rPr>
          <w:sz w:val="24"/>
        </w:rPr>
        <w:fldChar w:fldCharType="separate"/>
      </w:r>
      <w:r>
        <w:rPr>
          <w:sz w:val="24"/>
        </w:rPr>
        <w:t>120</w:t>
      </w:r>
      <w:r>
        <w:rPr>
          <w:sz w:val="24"/>
        </w:rPr>
        <w:fldChar w:fldCharType="end"/>
      </w:r>
      <w:r>
        <w:rPr>
          <w:sz w:val="24"/>
        </w:rPr>
        <w:fldChar w:fldCharType="end"/>
      </w:r>
    </w:p>
    <w:p>
      <w:pPr>
        <w:pStyle w:val="23"/>
        <w:tabs>
          <w:tab w:val="right" w:leader="dot" w:pos="8306"/>
        </w:tabs>
        <w:spacing w:line="480" w:lineRule="exact"/>
        <w:rPr>
          <w:sz w:val="24"/>
        </w:rPr>
      </w:pPr>
      <w:r>
        <w:fldChar w:fldCharType="begin"/>
      </w:r>
      <w:r>
        <w:instrText xml:space="preserve"> HYPERLINK \l "_Toc31335" </w:instrText>
      </w:r>
      <w:r>
        <w:fldChar w:fldCharType="separate"/>
      </w:r>
      <w:r>
        <w:rPr>
          <w:rFonts w:hint="eastAsia" w:ascii="黑体" w:hAnsi="黑体" w:eastAsia="黑体" w:cs="黑体"/>
          <w:sz w:val="24"/>
        </w:rPr>
        <w:t>第十九章 加强规划实施保障</w:t>
      </w:r>
      <w:r>
        <w:rPr>
          <w:sz w:val="24"/>
        </w:rPr>
        <w:tab/>
      </w:r>
      <w:r>
        <w:rPr>
          <w:sz w:val="24"/>
        </w:rPr>
        <w:fldChar w:fldCharType="begin"/>
      </w:r>
      <w:r>
        <w:rPr>
          <w:sz w:val="24"/>
        </w:rPr>
        <w:instrText xml:space="preserve"> PAGEREF _Toc31335 </w:instrText>
      </w:r>
      <w:r>
        <w:rPr>
          <w:sz w:val="24"/>
        </w:rPr>
        <w:fldChar w:fldCharType="separate"/>
      </w:r>
      <w:r>
        <w:rPr>
          <w:sz w:val="24"/>
        </w:rPr>
        <w:t>120</w:t>
      </w:r>
      <w:r>
        <w:rPr>
          <w:sz w:val="24"/>
        </w:rPr>
        <w:fldChar w:fldCharType="end"/>
      </w:r>
      <w:r>
        <w:rPr>
          <w:sz w:val="24"/>
        </w:rPr>
        <w:fldChar w:fldCharType="end"/>
      </w:r>
    </w:p>
    <w:p>
      <w:pPr>
        <w:pStyle w:val="13"/>
        <w:tabs>
          <w:tab w:val="right" w:leader="dot" w:pos="8306"/>
        </w:tabs>
        <w:spacing w:line="480" w:lineRule="exact"/>
        <w:rPr>
          <w:sz w:val="24"/>
        </w:rPr>
      </w:pPr>
      <w:r>
        <w:fldChar w:fldCharType="begin"/>
      </w:r>
      <w:r>
        <w:instrText xml:space="preserve"> HYPERLINK \l "_Toc18918" </w:instrText>
      </w:r>
      <w:r>
        <w:fldChar w:fldCharType="separate"/>
      </w:r>
      <w:r>
        <w:rPr>
          <w:rFonts w:hint="eastAsia" w:ascii="楷体" w:hAnsi="楷体" w:eastAsia="楷体" w:cs="楷体"/>
          <w:bCs/>
          <w:sz w:val="24"/>
        </w:rPr>
        <w:t>第一节 坚持和加强党的全面领导</w:t>
      </w:r>
      <w:r>
        <w:rPr>
          <w:sz w:val="24"/>
        </w:rPr>
        <w:tab/>
      </w:r>
      <w:r>
        <w:rPr>
          <w:sz w:val="24"/>
        </w:rPr>
        <w:fldChar w:fldCharType="begin"/>
      </w:r>
      <w:r>
        <w:rPr>
          <w:sz w:val="24"/>
        </w:rPr>
        <w:instrText xml:space="preserve"> PAGEREF _Toc18918 </w:instrText>
      </w:r>
      <w:r>
        <w:rPr>
          <w:sz w:val="24"/>
        </w:rPr>
        <w:fldChar w:fldCharType="separate"/>
      </w:r>
      <w:r>
        <w:rPr>
          <w:sz w:val="24"/>
        </w:rPr>
        <w:t>120</w:t>
      </w:r>
      <w:r>
        <w:rPr>
          <w:sz w:val="24"/>
        </w:rPr>
        <w:fldChar w:fldCharType="end"/>
      </w:r>
      <w:r>
        <w:rPr>
          <w:sz w:val="24"/>
        </w:rPr>
        <w:fldChar w:fldCharType="end"/>
      </w:r>
    </w:p>
    <w:p>
      <w:pPr>
        <w:pStyle w:val="13"/>
        <w:tabs>
          <w:tab w:val="right" w:leader="dot" w:pos="8306"/>
        </w:tabs>
        <w:spacing w:line="480" w:lineRule="exact"/>
        <w:rPr>
          <w:sz w:val="24"/>
        </w:rPr>
      </w:pPr>
      <w:r>
        <w:fldChar w:fldCharType="begin"/>
      </w:r>
      <w:r>
        <w:instrText xml:space="preserve"> HYPERLINK \l "_Toc31537" </w:instrText>
      </w:r>
      <w:r>
        <w:fldChar w:fldCharType="separate"/>
      </w:r>
      <w:r>
        <w:rPr>
          <w:rFonts w:hint="eastAsia" w:ascii="楷体" w:hAnsi="楷体" w:eastAsia="楷体" w:cs="楷体"/>
          <w:bCs/>
          <w:sz w:val="24"/>
        </w:rPr>
        <w:t>第二节 完善规划实施机制</w:t>
      </w:r>
      <w:r>
        <w:rPr>
          <w:sz w:val="24"/>
        </w:rPr>
        <w:tab/>
      </w:r>
      <w:r>
        <w:rPr>
          <w:sz w:val="24"/>
        </w:rPr>
        <w:fldChar w:fldCharType="begin"/>
      </w:r>
      <w:r>
        <w:rPr>
          <w:sz w:val="24"/>
        </w:rPr>
        <w:instrText xml:space="preserve"> PAGEREF _Toc31537 </w:instrText>
      </w:r>
      <w:r>
        <w:rPr>
          <w:sz w:val="24"/>
        </w:rPr>
        <w:fldChar w:fldCharType="separate"/>
      </w:r>
      <w:r>
        <w:rPr>
          <w:sz w:val="24"/>
        </w:rPr>
        <w:t>122</w:t>
      </w:r>
      <w:r>
        <w:rPr>
          <w:sz w:val="24"/>
        </w:rPr>
        <w:fldChar w:fldCharType="end"/>
      </w:r>
      <w:r>
        <w:rPr>
          <w:sz w:val="24"/>
        </w:rPr>
        <w:fldChar w:fldCharType="end"/>
      </w:r>
    </w:p>
    <w:p>
      <w:pPr>
        <w:pStyle w:val="13"/>
        <w:tabs>
          <w:tab w:val="right" w:leader="dot" w:pos="8306"/>
        </w:tabs>
        <w:spacing w:line="480" w:lineRule="exact"/>
        <w:rPr>
          <w:sz w:val="24"/>
        </w:rPr>
      </w:pPr>
      <w:r>
        <w:fldChar w:fldCharType="begin"/>
      </w:r>
      <w:r>
        <w:instrText xml:space="preserve"> HYPERLINK \l "_Toc7533" </w:instrText>
      </w:r>
      <w:r>
        <w:fldChar w:fldCharType="separate"/>
      </w:r>
      <w:r>
        <w:rPr>
          <w:rFonts w:hint="eastAsia" w:ascii="楷体" w:hAnsi="楷体" w:eastAsia="楷体" w:cs="楷体"/>
          <w:bCs/>
          <w:sz w:val="24"/>
        </w:rPr>
        <w:t>第三节 强化规划项目支撑</w:t>
      </w:r>
      <w:r>
        <w:rPr>
          <w:sz w:val="24"/>
        </w:rPr>
        <w:tab/>
      </w:r>
      <w:r>
        <w:rPr>
          <w:sz w:val="24"/>
        </w:rPr>
        <w:fldChar w:fldCharType="begin"/>
      </w:r>
      <w:r>
        <w:rPr>
          <w:sz w:val="24"/>
        </w:rPr>
        <w:instrText xml:space="preserve"> PAGEREF _Toc7533 </w:instrText>
      </w:r>
      <w:r>
        <w:rPr>
          <w:sz w:val="24"/>
        </w:rPr>
        <w:fldChar w:fldCharType="separate"/>
      </w:r>
      <w:r>
        <w:rPr>
          <w:sz w:val="24"/>
        </w:rPr>
        <w:t>123</w:t>
      </w:r>
      <w:r>
        <w:rPr>
          <w:sz w:val="24"/>
        </w:rPr>
        <w:fldChar w:fldCharType="end"/>
      </w:r>
      <w:r>
        <w:rPr>
          <w:sz w:val="24"/>
        </w:rPr>
        <w:fldChar w:fldCharType="end"/>
      </w:r>
    </w:p>
    <w:p>
      <w:pPr>
        <w:pStyle w:val="13"/>
        <w:tabs>
          <w:tab w:val="right" w:leader="dot" w:pos="8306"/>
        </w:tabs>
        <w:spacing w:line="480" w:lineRule="exact"/>
      </w:pPr>
      <w:r>
        <w:fldChar w:fldCharType="begin"/>
      </w:r>
      <w:r>
        <w:instrText xml:space="preserve"> HYPERLINK \l "_Toc5140" </w:instrText>
      </w:r>
      <w:r>
        <w:fldChar w:fldCharType="separate"/>
      </w:r>
      <w:r>
        <w:rPr>
          <w:rFonts w:hint="eastAsia" w:ascii="楷体" w:hAnsi="楷体" w:eastAsia="楷体" w:cs="楷体"/>
          <w:bCs/>
          <w:sz w:val="24"/>
        </w:rPr>
        <w:t>第四节 加强规划评估考核</w:t>
      </w:r>
      <w:r>
        <w:rPr>
          <w:sz w:val="24"/>
        </w:rPr>
        <w:tab/>
      </w:r>
      <w:r>
        <w:rPr>
          <w:sz w:val="24"/>
        </w:rPr>
        <w:fldChar w:fldCharType="begin"/>
      </w:r>
      <w:r>
        <w:rPr>
          <w:sz w:val="24"/>
        </w:rPr>
        <w:instrText xml:space="preserve"> PAGEREF _Toc5140 </w:instrText>
      </w:r>
      <w:r>
        <w:rPr>
          <w:sz w:val="24"/>
        </w:rPr>
        <w:fldChar w:fldCharType="separate"/>
      </w:r>
      <w:r>
        <w:rPr>
          <w:sz w:val="24"/>
        </w:rPr>
        <w:t>124</w:t>
      </w:r>
      <w:r>
        <w:rPr>
          <w:sz w:val="24"/>
        </w:rPr>
        <w:fldChar w:fldCharType="end"/>
      </w:r>
      <w:r>
        <w:rPr>
          <w:sz w:val="24"/>
        </w:rPr>
        <w:fldChar w:fldCharType="end"/>
      </w:r>
    </w:p>
    <w:p>
      <w:pPr>
        <w:spacing w:line="440" w:lineRule="exact"/>
        <w:jc w:val="center"/>
        <w:rPr>
          <w:rFonts w:ascii="黑体" w:eastAsia="黑体"/>
          <w:color w:val="000000"/>
          <w:sz w:val="24"/>
        </w:rPr>
        <w:sectPr>
          <w:footerReference r:id="rId4" w:type="default"/>
          <w:pgSz w:w="11906" w:h="16838"/>
          <w:pgMar w:top="1440" w:right="1800" w:bottom="1440" w:left="1800" w:header="851" w:footer="992" w:gutter="0"/>
          <w:pgNumType w:fmt="upperRoman" w:start="1"/>
          <w:cols w:space="425" w:num="1"/>
          <w:docGrid w:type="lines" w:linePitch="312" w:charSpace="0"/>
        </w:sectPr>
      </w:pPr>
      <w:r>
        <w:rPr>
          <w:rFonts w:ascii="黑体" w:eastAsia="黑体"/>
          <w:color w:val="000000"/>
        </w:rPr>
        <w:fldChar w:fldCharType="end"/>
      </w:r>
    </w:p>
    <w:p>
      <w:pPr>
        <w:spacing w:line="600" w:lineRule="exact"/>
        <w:jc w:val="center"/>
        <w:outlineLvl w:val="0"/>
        <w:rPr>
          <w:rFonts w:ascii="黑体" w:hAnsi="黑体" w:eastAsia="黑体" w:cs="黑体"/>
          <w:sz w:val="40"/>
          <w:szCs w:val="40"/>
        </w:rPr>
      </w:pPr>
      <w:bookmarkStart w:id="12" w:name="_Toc17409"/>
      <w:bookmarkStart w:id="13" w:name="_Toc5782"/>
      <w:bookmarkStart w:id="14" w:name="_Toc2691"/>
      <w:bookmarkStart w:id="15" w:name="_Toc9723"/>
      <w:bookmarkStart w:id="16" w:name="_Toc19337"/>
      <w:bookmarkStart w:id="17" w:name="_Toc4899"/>
      <w:bookmarkStart w:id="18" w:name="_Toc11514"/>
      <w:bookmarkStart w:id="19" w:name="_Toc17672"/>
      <w:bookmarkStart w:id="20" w:name="_Toc5554"/>
      <w:bookmarkStart w:id="21" w:name="_Toc7660"/>
      <w:bookmarkStart w:id="22" w:name="_Toc23714"/>
      <w:bookmarkStart w:id="23" w:name="_Toc13829"/>
      <w:bookmarkStart w:id="24" w:name="_Toc18306"/>
      <w:bookmarkStart w:id="25" w:name="_Toc14255"/>
      <w:bookmarkStart w:id="26" w:name="_Toc21280"/>
      <w:bookmarkStart w:id="27" w:name="_Toc26682"/>
      <w:bookmarkStart w:id="28" w:name="_Toc6222"/>
      <w:bookmarkStart w:id="29" w:name="_Toc17746"/>
      <w:bookmarkStart w:id="30" w:name="_Toc28139"/>
      <w:bookmarkStart w:id="31" w:name="_Toc22570"/>
      <w:bookmarkStart w:id="32" w:name="_Toc11563"/>
      <w:bookmarkStart w:id="33" w:name="_Toc13278"/>
      <w:bookmarkStart w:id="34" w:name="_Toc1475"/>
      <w:bookmarkStart w:id="35" w:name="_Toc13266"/>
      <w:bookmarkStart w:id="36" w:name="_Toc11522"/>
      <w:bookmarkStart w:id="37" w:name="_Toc23452"/>
      <w:bookmarkStart w:id="38" w:name="_Toc22429"/>
      <w:bookmarkStart w:id="39" w:name="_Toc5555"/>
      <w:bookmarkStart w:id="40" w:name="_Toc21655"/>
      <w:bookmarkStart w:id="41" w:name="_Toc4907"/>
      <w:bookmarkStart w:id="42" w:name="_Toc1543"/>
      <w:bookmarkStart w:id="43" w:name="_Toc28140"/>
      <w:bookmarkStart w:id="44" w:name="_Toc15227"/>
      <w:bookmarkStart w:id="45" w:name="_Toc29925"/>
      <w:bookmarkStart w:id="46" w:name="_Toc28535"/>
      <w:bookmarkStart w:id="47" w:name="_Toc22591"/>
      <w:r>
        <w:rPr>
          <w:rFonts w:hint="eastAsia" w:ascii="黑体" w:hAnsi="黑体" w:eastAsia="黑体" w:cs="黑体"/>
          <w:sz w:val="40"/>
          <w:szCs w:val="40"/>
        </w:rPr>
        <w:t>前  言</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pPr>
        <w:snapToGrid w:val="0"/>
        <w:spacing w:line="600" w:lineRule="exact"/>
        <w:ind w:firstLine="640" w:firstLineChars="200"/>
        <w:rPr>
          <w:rFonts w:ascii="仿宋_GB2312" w:hAnsi="Times New Roman" w:eastAsia="仿宋_GB2312"/>
          <w:sz w:val="32"/>
          <w:szCs w:val="32"/>
        </w:rPr>
      </w:pPr>
    </w:p>
    <w:p>
      <w:pPr>
        <w:overflowPunct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深圳是改革开放后党和人民一手缔造的崭新城市，是中国特色社会主义在一张白纸上的精彩演绎。深圳广大干部群众披荆斩棘、埋头苦干，用40年时间走过了国外一些国际化大都市上百年走完的历程。深圳经济特区生机勃勃，向世界展示了我国改革开放的磅礴伟力，展示了中国特色社会主义的光明前景，充分证明党中央关于兴办经济特区的战略决策是完全正确的。</w:t>
      </w:r>
    </w:p>
    <w:p>
      <w:pPr>
        <w:overflowPunct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十三五”时期，是深圳发展史上具有里程碑意义的五年。党的十八大以来，习近平总书记三次视察广东、深圳，亲自出席深圳经济特区建立四十周年庆祝大会并发表重要讲话，为深圳发展领航掌舵。深圳抢抓建设粤港澳大湾区、深圳先行示范区和实施综合改革试点重大历史机遇，在高质量全面建成小康社会基础上，全面建设成为一座充满魅力、动力、活力和创新力的国际化创新型城市。</w:t>
      </w:r>
    </w:p>
    <w:p>
      <w:pPr>
        <w:overflowPunct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十四五”时期，是我国开启全面建设社会主义现代化国家新征程的第一个五年，是深圳实现建设中国特色社会主义先行示范区第一阶段发展目标的五年。深圳要肩负好新时代的历史使命，坚决扛起经济特区、深圳先行示范区建设主体责任，勇当驶向中华民族伟大复兴光辉彼岸的第一艘“冲锋舟”，为全面建设社会主义现代化国家、实现第二个百年奋斗目标作出新的更大贡献！</w:t>
      </w:r>
    </w:p>
    <w:p>
      <w:pPr>
        <w:overflowPunct w:val="0"/>
        <w:snapToGrid w:val="0"/>
        <w:spacing w:line="600" w:lineRule="exact"/>
        <w:ind w:firstLine="640" w:firstLineChars="200"/>
        <w:rPr>
          <w:rFonts w:ascii="仿宋_GB2312" w:hAnsi="Times New Roman" w:eastAsia="仿宋_GB2312"/>
          <w:sz w:val="32"/>
          <w:szCs w:val="32"/>
        </w:rPr>
        <w:sectPr>
          <w:footerReference r:id="rId5" w:type="default"/>
          <w:pgSz w:w="11906" w:h="16838"/>
          <w:pgMar w:top="1440" w:right="1800" w:bottom="1440" w:left="1800" w:header="851" w:footer="992" w:gutter="0"/>
          <w:pgNumType w:start="1"/>
          <w:cols w:space="425" w:num="1"/>
          <w:docGrid w:type="lines" w:linePitch="312" w:charSpace="0"/>
        </w:sectPr>
      </w:pPr>
    </w:p>
    <w:p>
      <w:pPr>
        <w:spacing w:line="600" w:lineRule="exact"/>
        <w:jc w:val="center"/>
        <w:outlineLvl w:val="0"/>
        <w:rPr>
          <w:rFonts w:ascii="黑体" w:hAnsi="黑体" w:eastAsia="黑体" w:cs="黑体"/>
          <w:sz w:val="40"/>
          <w:szCs w:val="40"/>
        </w:rPr>
      </w:pPr>
      <w:bookmarkStart w:id="48" w:name="_Toc20916"/>
      <w:bookmarkStart w:id="49" w:name="_Toc32020"/>
      <w:bookmarkStart w:id="50" w:name="_Toc355"/>
      <w:bookmarkStart w:id="51" w:name="_Toc12392"/>
      <w:bookmarkStart w:id="52" w:name="_Toc13221"/>
      <w:bookmarkStart w:id="53" w:name="_Toc16052"/>
      <w:bookmarkStart w:id="54" w:name="_Toc4788"/>
      <w:bookmarkStart w:id="55" w:name="_Toc10457"/>
      <w:bookmarkStart w:id="56" w:name="_Toc18766"/>
      <w:bookmarkStart w:id="57" w:name="_Toc20906"/>
      <w:bookmarkStart w:id="58" w:name="_Toc32744"/>
      <w:bookmarkStart w:id="59" w:name="_Toc20195"/>
      <w:bookmarkStart w:id="60" w:name="_Toc31747"/>
      <w:bookmarkStart w:id="61" w:name="_Toc4001"/>
      <w:bookmarkStart w:id="62" w:name="_Toc29242"/>
      <w:bookmarkStart w:id="63" w:name="_Toc27341"/>
      <w:bookmarkStart w:id="64" w:name="_Toc26824"/>
      <w:bookmarkStart w:id="65" w:name="_Toc1009"/>
      <w:bookmarkStart w:id="66" w:name="_Toc31868"/>
      <w:bookmarkStart w:id="67" w:name="_Toc699"/>
      <w:bookmarkStart w:id="68" w:name="_Toc10590"/>
      <w:bookmarkStart w:id="69" w:name="_Toc5146"/>
      <w:bookmarkStart w:id="70" w:name="_Toc16698"/>
      <w:bookmarkStart w:id="71" w:name="_Toc29984"/>
      <w:bookmarkStart w:id="72" w:name="_Toc26807"/>
      <w:bookmarkStart w:id="73" w:name="_Toc1445"/>
      <w:bookmarkStart w:id="74" w:name="_Toc9280"/>
      <w:bookmarkStart w:id="75" w:name="_Toc6192"/>
      <w:bookmarkStart w:id="76" w:name="_Toc16754"/>
      <w:bookmarkStart w:id="77" w:name="_Toc25541"/>
      <w:bookmarkStart w:id="78" w:name="_Toc1888"/>
      <w:bookmarkStart w:id="79" w:name="_Toc17462"/>
      <w:bookmarkStart w:id="80" w:name="_Toc7602"/>
      <w:bookmarkStart w:id="81" w:name="_Toc28428"/>
      <w:bookmarkStart w:id="82" w:name="_Toc24804"/>
      <w:bookmarkStart w:id="83" w:name="_Toc26098"/>
      <w:bookmarkStart w:id="84" w:name="_Toc15377"/>
      <w:bookmarkStart w:id="85" w:name="_Toc2005"/>
      <w:bookmarkStart w:id="86" w:name="_Toc25858"/>
      <w:bookmarkStart w:id="87" w:name="_Toc27738"/>
      <w:bookmarkStart w:id="88" w:name="_Toc7643"/>
      <w:bookmarkStart w:id="89" w:name="_Toc14715"/>
      <w:bookmarkStart w:id="90" w:name="_Toc28110"/>
      <w:bookmarkStart w:id="91" w:name="_Toc16576"/>
      <w:bookmarkStart w:id="92" w:name="_Toc9213"/>
      <w:bookmarkStart w:id="93" w:name="_Toc13359"/>
      <w:bookmarkStart w:id="94" w:name="_Toc27725"/>
      <w:bookmarkStart w:id="95" w:name="_Toc11301"/>
      <w:bookmarkStart w:id="96" w:name="_Toc31742"/>
      <w:bookmarkStart w:id="97" w:name="_Toc12640"/>
      <w:bookmarkStart w:id="98" w:name="_Toc14894"/>
      <w:bookmarkStart w:id="99" w:name="_Toc18137"/>
      <w:bookmarkStart w:id="100" w:name="_Toc16258"/>
      <w:bookmarkStart w:id="101" w:name="_Toc19860"/>
      <w:bookmarkStart w:id="102" w:name="_Toc2713"/>
      <w:bookmarkStart w:id="103" w:name="_Toc31870"/>
      <w:bookmarkStart w:id="104" w:name="_Toc13447"/>
      <w:bookmarkStart w:id="105" w:name="_Toc9091"/>
      <w:bookmarkStart w:id="106" w:name="_Toc11248"/>
      <w:bookmarkStart w:id="107" w:name="_Toc5326"/>
      <w:bookmarkStart w:id="108" w:name="_Toc11416"/>
      <w:bookmarkStart w:id="109" w:name="_Toc16866"/>
      <w:bookmarkStart w:id="110" w:name="_Toc7844"/>
      <w:bookmarkStart w:id="111" w:name="_Toc15509"/>
      <w:bookmarkStart w:id="112" w:name="_Toc8538"/>
      <w:bookmarkStart w:id="113" w:name="_Toc20344"/>
      <w:bookmarkStart w:id="114" w:name="_Toc26462"/>
      <w:bookmarkStart w:id="115" w:name="_Toc15180"/>
      <w:bookmarkStart w:id="116" w:name="_Toc9306"/>
      <w:bookmarkStart w:id="117" w:name="_Toc5385"/>
      <w:bookmarkStart w:id="118" w:name="_Toc21779"/>
      <w:bookmarkStart w:id="119" w:name="_Toc16133"/>
      <w:bookmarkStart w:id="120" w:name="_Toc21065"/>
      <w:bookmarkStart w:id="121" w:name="_Toc9848"/>
      <w:bookmarkStart w:id="122" w:name="_Toc23486"/>
      <w:r>
        <w:rPr>
          <w:rFonts w:hint="eastAsia" w:ascii="黑体" w:hAnsi="黑体" w:eastAsia="黑体" w:cs="黑体"/>
          <w:sz w:val="40"/>
          <w:szCs w:val="40"/>
        </w:rPr>
        <w:t>第一篇 开启中国特色社会主义先行示范区</w:t>
      </w:r>
      <w:r>
        <w:rPr>
          <w:rFonts w:hint="eastAsia" w:ascii="黑体" w:hAnsi="黑体" w:eastAsia="黑体" w:cs="黑体"/>
          <w:sz w:val="40"/>
          <w:szCs w:val="40"/>
        </w:rPr>
        <w:br w:type="textWrapping"/>
      </w:r>
      <w:r>
        <w:rPr>
          <w:rFonts w:hint="eastAsia" w:ascii="黑体" w:hAnsi="黑体" w:eastAsia="黑体" w:cs="黑体"/>
          <w:sz w:val="40"/>
          <w:szCs w:val="40"/>
        </w:rPr>
        <w:t>建设新征程</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snapToGrid w:val="0"/>
        <w:spacing w:line="600" w:lineRule="exact"/>
        <w:ind w:firstLine="640" w:firstLineChars="200"/>
        <w:rPr>
          <w:rFonts w:ascii="仿宋_GB2312" w:hAnsi="黑体" w:eastAsia="仿宋_GB2312" w:cstheme="minorBidi"/>
          <w:sz w:val="32"/>
          <w:szCs w:val="32"/>
        </w:rPr>
      </w:pPr>
    </w:p>
    <w:p>
      <w:pPr>
        <w:overflowPunct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新时代开启新征程，深圳按照习近平总书记的殷殷嘱托，不忘初心再先行、牢记使命作示范，不断增强深圳在粤港澳大湾区中的核心引擎功能</w:t>
      </w:r>
      <w:r>
        <w:rPr>
          <w:rFonts w:hint="eastAsia" w:ascii="仿宋_GB2312" w:hAnsi="仿宋_GB2312" w:eastAsia="仿宋_GB2312" w:cs="仿宋_GB2312"/>
          <w:sz w:val="32"/>
          <w:szCs w:val="32"/>
        </w:rPr>
        <w:t>，加快综合改革试点落地实施，</w:t>
      </w:r>
      <w:r>
        <w:rPr>
          <w:rFonts w:hint="eastAsia" w:ascii="仿宋_GB2312" w:hAnsi="黑体" w:eastAsia="仿宋_GB2312" w:cstheme="minorBidi"/>
          <w:sz w:val="32"/>
          <w:szCs w:val="32"/>
        </w:rPr>
        <w:t>建设好中国特色社会主义先行示范区，创建社会主义现代化强国的城市范例。</w:t>
      </w:r>
    </w:p>
    <w:p>
      <w:pPr>
        <w:spacing w:line="600" w:lineRule="exact"/>
      </w:pPr>
    </w:p>
    <w:p>
      <w:pPr>
        <w:spacing w:line="600" w:lineRule="exact"/>
        <w:jc w:val="center"/>
        <w:outlineLvl w:val="1"/>
        <w:rPr>
          <w:rFonts w:ascii="黑体" w:hAnsi="黑体" w:eastAsia="黑体" w:cs="黑体"/>
          <w:sz w:val="36"/>
          <w:szCs w:val="36"/>
        </w:rPr>
      </w:pPr>
      <w:bookmarkStart w:id="123" w:name="_Toc104"/>
      <w:bookmarkStart w:id="124" w:name="_Toc30738"/>
      <w:bookmarkStart w:id="125" w:name="_Toc29611"/>
      <w:bookmarkStart w:id="126" w:name="_Toc14236"/>
      <w:bookmarkStart w:id="127" w:name="_Toc6280"/>
      <w:bookmarkStart w:id="128" w:name="_Toc25378"/>
      <w:bookmarkStart w:id="129" w:name="_Toc27579"/>
      <w:bookmarkStart w:id="130" w:name="_Toc27980"/>
      <w:bookmarkStart w:id="131" w:name="_Toc14969"/>
      <w:bookmarkStart w:id="132" w:name="_Toc8795"/>
      <w:bookmarkStart w:id="133" w:name="_Toc19605"/>
      <w:bookmarkStart w:id="134" w:name="_Toc1080"/>
      <w:bookmarkStart w:id="135" w:name="_Toc3485"/>
      <w:bookmarkStart w:id="136" w:name="_Toc18753"/>
      <w:bookmarkStart w:id="137" w:name="_Toc24885"/>
      <w:bookmarkStart w:id="138" w:name="_Toc498"/>
      <w:bookmarkStart w:id="139" w:name="_Toc22764"/>
      <w:bookmarkStart w:id="140" w:name="_Toc5745"/>
      <w:bookmarkStart w:id="141" w:name="_Toc6992"/>
      <w:bookmarkStart w:id="142" w:name="_Toc3644"/>
      <w:bookmarkStart w:id="143" w:name="_Toc18461"/>
      <w:bookmarkStart w:id="144" w:name="_Toc7565"/>
      <w:bookmarkStart w:id="145" w:name="_Toc8588"/>
      <w:bookmarkStart w:id="146" w:name="_Toc16446"/>
      <w:bookmarkStart w:id="147" w:name="_Toc21614"/>
      <w:bookmarkStart w:id="148" w:name="_Toc27220"/>
      <w:bookmarkStart w:id="149" w:name="_Toc6725"/>
      <w:bookmarkStart w:id="150" w:name="_Toc25354"/>
      <w:bookmarkStart w:id="151" w:name="_Toc15810"/>
      <w:bookmarkStart w:id="152" w:name="_Toc16047"/>
      <w:bookmarkStart w:id="153" w:name="_Toc2299"/>
      <w:bookmarkStart w:id="154" w:name="_Toc19807"/>
      <w:bookmarkStart w:id="155" w:name="_Toc27510"/>
      <w:bookmarkStart w:id="156" w:name="_Toc1918"/>
      <w:bookmarkStart w:id="157" w:name="_Toc6102"/>
      <w:bookmarkStart w:id="158" w:name="_Toc24676"/>
      <w:bookmarkStart w:id="159" w:name="_Toc28732"/>
      <w:bookmarkStart w:id="160" w:name="_Toc8466"/>
      <w:bookmarkStart w:id="161" w:name="_Toc1093"/>
      <w:bookmarkStart w:id="162" w:name="_Toc22462"/>
      <w:bookmarkStart w:id="163" w:name="_Toc6"/>
      <w:bookmarkStart w:id="164" w:name="_Toc17219"/>
      <w:bookmarkStart w:id="165" w:name="_Toc30492"/>
      <w:bookmarkStart w:id="166" w:name="_Toc14160"/>
      <w:bookmarkStart w:id="167" w:name="_Toc2924"/>
      <w:bookmarkStart w:id="168" w:name="_Toc15728"/>
      <w:bookmarkStart w:id="169" w:name="_Toc25759"/>
      <w:bookmarkStart w:id="170" w:name="_Toc28578"/>
      <w:bookmarkStart w:id="171" w:name="_Toc17317"/>
      <w:bookmarkStart w:id="172" w:name="_Toc25841"/>
      <w:bookmarkStart w:id="173" w:name="_Toc5257"/>
      <w:bookmarkStart w:id="174" w:name="_Toc4526"/>
      <w:bookmarkStart w:id="175" w:name="_Toc994"/>
      <w:bookmarkStart w:id="176" w:name="_Toc8984"/>
      <w:bookmarkStart w:id="177" w:name="_Toc27331"/>
      <w:bookmarkStart w:id="178" w:name="_Toc30446"/>
      <w:bookmarkStart w:id="179" w:name="_Toc32430"/>
      <w:bookmarkStart w:id="180" w:name="_Toc8593"/>
      <w:bookmarkStart w:id="181" w:name="_Toc23344"/>
      <w:bookmarkStart w:id="182" w:name="_Toc17832"/>
      <w:bookmarkStart w:id="183" w:name="_Toc21791"/>
      <w:bookmarkStart w:id="184" w:name="_Toc27847"/>
      <w:bookmarkStart w:id="185" w:name="_Toc20918"/>
      <w:bookmarkStart w:id="186" w:name="_Toc9209"/>
      <w:bookmarkStart w:id="187" w:name="_Toc15157"/>
      <w:bookmarkStart w:id="188" w:name="_Toc18400"/>
      <w:bookmarkStart w:id="189" w:name="_Toc24137"/>
      <w:bookmarkStart w:id="190" w:name="_Toc26399"/>
      <w:bookmarkStart w:id="191" w:name="_Toc15516"/>
      <w:bookmarkStart w:id="192" w:name="_Toc27850"/>
      <w:bookmarkStart w:id="193" w:name="_Toc14061"/>
      <w:bookmarkStart w:id="194" w:name="_Toc14738"/>
      <w:bookmarkStart w:id="195" w:name="_Toc4990"/>
      <w:bookmarkStart w:id="196" w:name="_Toc2182"/>
      <w:bookmarkStart w:id="197" w:name="_Toc22076"/>
      <w:r>
        <w:rPr>
          <w:rFonts w:hint="eastAsia" w:ascii="黑体" w:hAnsi="黑体" w:eastAsia="黑体" w:cs="黑体"/>
          <w:sz w:val="36"/>
          <w:szCs w:val="36"/>
        </w:rPr>
        <w:t>第一章 发展</w:t>
      </w:r>
      <w:bookmarkEnd w:id="123"/>
      <w:bookmarkEnd w:id="124"/>
      <w:bookmarkEnd w:id="125"/>
      <w:bookmarkEnd w:id="126"/>
      <w:bookmarkEnd w:id="127"/>
      <w:bookmarkEnd w:id="128"/>
      <w:bookmarkEnd w:id="129"/>
      <w:bookmarkEnd w:id="130"/>
      <w:bookmarkEnd w:id="131"/>
      <w:bookmarkEnd w:id="132"/>
      <w:bookmarkEnd w:id="133"/>
      <w:bookmarkEnd w:id="134"/>
      <w:bookmarkEnd w:id="135"/>
      <w:r>
        <w:rPr>
          <w:rFonts w:hint="eastAsia" w:ascii="黑体" w:hAnsi="黑体" w:eastAsia="黑体" w:cs="黑体"/>
          <w:sz w:val="36"/>
          <w:szCs w:val="36"/>
        </w:rPr>
        <w:t>基础</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pPr>
        <w:spacing w:line="600" w:lineRule="exact"/>
      </w:pPr>
    </w:p>
    <w:p>
      <w:pPr>
        <w:overflowPunct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40年来，深圳经济特区砥砺奋进取得了辉煌成就。“十三五”时期，深圳坚定不移贯彻新发展理念，积极应对一系列风险挑战，完成规划主要目标任务。“十四五”时期，要深刻认识国际国内新形势，抓住机遇，应对挑战，奋勇前进。</w:t>
      </w:r>
    </w:p>
    <w:p>
      <w:pPr>
        <w:spacing w:line="600" w:lineRule="exact"/>
      </w:pPr>
    </w:p>
    <w:p>
      <w:pPr>
        <w:spacing w:line="600" w:lineRule="exact"/>
        <w:jc w:val="center"/>
        <w:outlineLvl w:val="2"/>
        <w:rPr>
          <w:rFonts w:ascii="楷体" w:hAnsi="楷体" w:eastAsia="楷体" w:cs="楷体"/>
          <w:b/>
          <w:bCs/>
          <w:sz w:val="32"/>
          <w:szCs w:val="32"/>
        </w:rPr>
      </w:pPr>
      <w:bookmarkStart w:id="198" w:name="_Toc30562"/>
      <w:bookmarkStart w:id="199" w:name="_Toc9103"/>
      <w:bookmarkStart w:id="200" w:name="_Toc28922"/>
      <w:bookmarkStart w:id="201" w:name="_Toc8665"/>
      <w:bookmarkStart w:id="202" w:name="_Toc30791"/>
      <w:bookmarkStart w:id="203" w:name="_Toc20545"/>
      <w:bookmarkStart w:id="204" w:name="_Toc17368"/>
      <w:bookmarkStart w:id="205" w:name="_Toc1034"/>
      <w:bookmarkStart w:id="206" w:name="_Toc24483"/>
      <w:bookmarkStart w:id="207" w:name="_Toc28705"/>
      <w:bookmarkStart w:id="208" w:name="_Toc6225"/>
      <w:bookmarkStart w:id="209" w:name="_Toc13990"/>
      <w:bookmarkStart w:id="210" w:name="_Toc25826"/>
      <w:bookmarkStart w:id="211" w:name="_Toc10618"/>
      <w:bookmarkStart w:id="212" w:name="_Toc18240"/>
      <w:bookmarkStart w:id="213" w:name="_Toc4361"/>
      <w:bookmarkStart w:id="214" w:name="_Toc15334"/>
      <w:bookmarkStart w:id="215" w:name="_Toc20416"/>
      <w:bookmarkStart w:id="216" w:name="_Toc17444"/>
      <w:bookmarkStart w:id="217" w:name="_Toc4033"/>
      <w:bookmarkStart w:id="218" w:name="_Toc13759"/>
      <w:bookmarkStart w:id="219" w:name="_Toc12326"/>
      <w:bookmarkStart w:id="220" w:name="_Toc900"/>
      <w:bookmarkStart w:id="221" w:name="_Toc25980"/>
      <w:bookmarkStart w:id="222" w:name="_Toc32339"/>
      <w:bookmarkStart w:id="223" w:name="_Toc5651"/>
      <w:bookmarkStart w:id="224" w:name="_Toc30669"/>
      <w:bookmarkStart w:id="225" w:name="_Toc32011"/>
      <w:bookmarkStart w:id="226" w:name="_Toc27508"/>
      <w:bookmarkStart w:id="227" w:name="_Toc2254"/>
      <w:bookmarkStart w:id="228" w:name="_Toc17160"/>
      <w:bookmarkStart w:id="229" w:name="_Toc6653"/>
      <w:bookmarkStart w:id="230" w:name="_Toc29346"/>
      <w:bookmarkStart w:id="231" w:name="_Toc11795"/>
      <w:bookmarkStart w:id="232" w:name="_Toc16674"/>
      <w:bookmarkStart w:id="233" w:name="_Toc6483"/>
      <w:bookmarkStart w:id="234" w:name="_Toc2620"/>
      <w:bookmarkStart w:id="235" w:name="_Toc4753"/>
      <w:bookmarkStart w:id="236" w:name="_Toc32533"/>
      <w:bookmarkStart w:id="237" w:name="_Toc2782"/>
      <w:bookmarkStart w:id="238" w:name="_Toc15488"/>
      <w:bookmarkStart w:id="239" w:name="_Toc17902"/>
      <w:bookmarkStart w:id="240" w:name="_Toc16696"/>
      <w:bookmarkStart w:id="241" w:name="_Toc20975"/>
      <w:bookmarkStart w:id="242" w:name="_Toc5103"/>
      <w:bookmarkStart w:id="243" w:name="_Toc11739"/>
      <w:bookmarkStart w:id="244" w:name="_Toc9516"/>
      <w:bookmarkStart w:id="245" w:name="_Toc19339"/>
      <w:bookmarkStart w:id="246" w:name="_Toc14944"/>
      <w:bookmarkStart w:id="247" w:name="_Toc4252"/>
      <w:bookmarkStart w:id="248" w:name="_Toc21220"/>
      <w:bookmarkStart w:id="249" w:name="_Toc4312"/>
      <w:bookmarkStart w:id="250" w:name="_Toc14769"/>
      <w:bookmarkStart w:id="251" w:name="_Toc12099"/>
      <w:bookmarkStart w:id="252" w:name="_Toc31500"/>
      <w:bookmarkStart w:id="253" w:name="_Toc9556"/>
      <w:bookmarkStart w:id="254" w:name="_Toc29794"/>
      <w:bookmarkStart w:id="255" w:name="_Toc6800"/>
      <w:bookmarkStart w:id="256" w:name="_Toc8188"/>
      <w:bookmarkStart w:id="257" w:name="_Toc24145"/>
      <w:bookmarkStart w:id="258" w:name="_Toc11187"/>
      <w:bookmarkStart w:id="259" w:name="_Toc19879"/>
      <w:bookmarkStart w:id="260" w:name="_Toc26860"/>
      <w:bookmarkStart w:id="261" w:name="_Toc15646"/>
      <w:bookmarkStart w:id="262" w:name="_Toc32554"/>
      <w:bookmarkStart w:id="263" w:name="_Toc18503"/>
      <w:bookmarkStart w:id="264" w:name="_Toc19209"/>
      <w:bookmarkStart w:id="265" w:name="_Toc21644"/>
      <w:bookmarkStart w:id="266" w:name="_Toc18606"/>
      <w:bookmarkStart w:id="267" w:name="_Toc16284"/>
      <w:bookmarkStart w:id="268" w:name="_Toc30055"/>
      <w:bookmarkStart w:id="269" w:name="_Toc5937"/>
      <w:bookmarkStart w:id="270" w:name="_Toc2076"/>
      <w:bookmarkStart w:id="271" w:name="_Toc31252"/>
      <w:bookmarkStart w:id="272" w:name="_Toc23276"/>
      <w:bookmarkStart w:id="273" w:name="_Toc21363"/>
      <w:bookmarkStart w:id="274" w:name="_Toc13899"/>
      <w:bookmarkStart w:id="275" w:name="_Toc14748"/>
      <w:bookmarkStart w:id="276" w:name="_Toc13098"/>
      <w:r>
        <w:rPr>
          <w:rFonts w:hint="eastAsia" w:ascii="楷体" w:hAnsi="楷体" w:eastAsia="楷体" w:cs="楷体"/>
          <w:b/>
          <w:bCs/>
          <w:sz w:val="32"/>
          <w:szCs w:val="32"/>
        </w:rPr>
        <w:t>第一节 深圳经济特区40年辉煌成就</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pPr>
        <w:overflowPunct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深圳经济特区诞生于我们党和国家把工作中心转移到经济建设上来的历史转折点，成长于波澜壮阔的改革开放时代大潮中。40年来，深圳始终牢记党中央创办经济特区的战略意图，坚持党的全面领导，高举中国特色社会主义伟大旗帜，解放思想、改革创新，勇担使命、砥砺奋进，在建设中国特色社会主义伟大进程中谱写了勇立潮头、开拓进取的壮丽篇章，为全国改革开放和社会主义现代化建设作出了重大贡献。</w:t>
      </w:r>
    </w:p>
    <w:p>
      <w:pPr>
        <w:overflowPunct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40年来，深圳奋力解放和发展社会生产力，大力推进科技创新，地区生产总值从1980年的2.7亿元增至2020年的2.77万亿元，经济总量位居亚洲城市第五位，财政收入从不足1亿元增加到9789亿元，实现了由一座落后的边陲小镇到具有全球影响力的国际化大都市的历史性跨越。</w:t>
      </w:r>
    </w:p>
    <w:p>
      <w:pPr>
        <w:overflowPunct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——40年来，深圳坚持解放思想、与时俱进，率先进行市场取向的经济体制改革，首创1000多项改革举措，奏响了实干兴邦的时代强音，实现了由经济体制改革到全面深化改革的历史性跨越。</w:t>
      </w:r>
    </w:p>
    <w:p>
      <w:pPr>
        <w:overflowPunct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40年来，深圳坚持实行“引进来”和“走出去”，积极利用国际国内两个市场、两种资源，积极吸引全球投资，外贸进出口总额由1980年的0.18亿美元跃升至2020年的4421亿美元，实现了由进出口贸易为主到全方位高水平对外开放的历史性跨越。</w:t>
      </w:r>
    </w:p>
    <w:p>
      <w:pPr>
        <w:overflowPunct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40年来，深圳坚持发展社会主义民主政治，尊重人民主体地位，加强社会主义精神文明建设，积极培育和践行社会主义核心价值观，实现了由经济开发到统筹社会主义物质文明、政治文明、精神文明、社会文明、生态文明发展的历史性跨越。</w:t>
      </w:r>
    </w:p>
    <w:p>
      <w:pPr>
        <w:overflowPunct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40年来，深圳坚持以人民为中心，人民生活水平大幅提高，教育、医疗、住房等实现翻天覆地的变化，2020年居民人均可支配收入6.49万元，比1985年增长32.9倍；率先完成全面建成小康社会的目标，实现了由解决温饱到高质量全面小康的历史性跨越。</w:t>
      </w:r>
    </w:p>
    <w:p>
      <w:pPr>
        <w:overflowPunct w:val="0"/>
        <w:snapToGrid w:val="0"/>
        <w:spacing w:line="600" w:lineRule="exact"/>
        <w:ind w:firstLine="640" w:firstLineChars="200"/>
        <w:jc w:val="left"/>
        <w:rPr>
          <w:rFonts w:ascii="仿宋_GB2312" w:hAnsi="仿宋_GB2312" w:eastAsia="仿宋_GB2312" w:cs="仿宋_GB2312"/>
          <w:sz w:val="32"/>
          <w:szCs w:val="32"/>
        </w:rPr>
      </w:pPr>
    </w:p>
    <w:p>
      <w:pPr>
        <w:spacing w:line="600" w:lineRule="exact"/>
        <w:jc w:val="center"/>
        <w:outlineLvl w:val="2"/>
        <w:rPr>
          <w:rFonts w:ascii="楷体" w:hAnsi="楷体" w:eastAsia="楷体" w:cs="楷体"/>
          <w:b/>
          <w:bCs/>
          <w:sz w:val="32"/>
          <w:szCs w:val="32"/>
        </w:rPr>
      </w:pPr>
      <w:bookmarkStart w:id="277" w:name="_Toc27709"/>
      <w:bookmarkStart w:id="278" w:name="_Toc20029"/>
      <w:bookmarkStart w:id="279" w:name="_Toc18030"/>
      <w:bookmarkStart w:id="280" w:name="_Toc11016"/>
      <w:bookmarkStart w:id="281" w:name="_Toc16510"/>
      <w:bookmarkStart w:id="282" w:name="_Toc26777"/>
      <w:bookmarkStart w:id="283" w:name="_Toc22364"/>
      <w:bookmarkStart w:id="284" w:name="_Toc8598"/>
      <w:bookmarkStart w:id="285" w:name="_Toc5020"/>
      <w:bookmarkStart w:id="286" w:name="_Toc20938"/>
      <w:bookmarkStart w:id="287" w:name="_Toc30836"/>
      <w:bookmarkStart w:id="288" w:name="_Toc28307"/>
      <w:bookmarkStart w:id="289" w:name="_Toc25806"/>
      <w:bookmarkStart w:id="290" w:name="_Toc27097"/>
      <w:bookmarkStart w:id="291" w:name="_Toc20401"/>
      <w:bookmarkStart w:id="292" w:name="_Toc17963"/>
      <w:bookmarkStart w:id="293" w:name="_Toc25052"/>
      <w:bookmarkStart w:id="294" w:name="_Toc16130"/>
      <w:bookmarkStart w:id="295" w:name="_Toc12654"/>
      <w:bookmarkStart w:id="296" w:name="_Toc23988"/>
      <w:bookmarkStart w:id="297" w:name="_Toc27873"/>
      <w:bookmarkStart w:id="298" w:name="_Toc31705"/>
      <w:bookmarkStart w:id="299" w:name="_Toc23175"/>
      <w:bookmarkStart w:id="300" w:name="_Toc13465"/>
      <w:bookmarkStart w:id="301" w:name="_Toc823"/>
      <w:bookmarkStart w:id="302" w:name="_Toc31769"/>
      <w:bookmarkStart w:id="303" w:name="_Toc20068"/>
      <w:bookmarkStart w:id="304" w:name="_Toc30685"/>
      <w:bookmarkStart w:id="305" w:name="_Toc5774"/>
      <w:bookmarkStart w:id="306" w:name="_Toc7320"/>
      <w:bookmarkStart w:id="307" w:name="_Toc14916"/>
      <w:bookmarkStart w:id="308" w:name="_Toc3068"/>
      <w:bookmarkStart w:id="309" w:name="_Toc7976"/>
      <w:bookmarkStart w:id="310" w:name="_Toc1824"/>
      <w:bookmarkStart w:id="311" w:name="_Toc7216"/>
      <w:bookmarkStart w:id="312" w:name="_Toc10283"/>
      <w:bookmarkStart w:id="313" w:name="_Toc13299"/>
      <w:bookmarkStart w:id="314" w:name="_Toc29155"/>
      <w:bookmarkStart w:id="315" w:name="_Toc7204"/>
      <w:bookmarkStart w:id="316" w:name="_Toc31838"/>
      <w:bookmarkStart w:id="317" w:name="_Toc20649"/>
      <w:bookmarkStart w:id="318" w:name="_Toc23725"/>
      <w:bookmarkStart w:id="319" w:name="_Toc1801"/>
      <w:bookmarkStart w:id="320" w:name="_Toc4223"/>
      <w:bookmarkStart w:id="321" w:name="_Toc30877"/>
      <w:bookmarkStart w:id="322" w:name="_Toc8364"/>
      <w:bookmarkStart w:id="323" w:name="_Toc10957"/>
      <w:bookmarkStart w:id="324" w:name="_Toc8755"/>
      <w:bookmarkStart w:id="325" w:name="_Toc7024"/>
      <w:bookmarkStart w:id="326" w:name="_Toc19122"/>
      <w:bookmarkStart w:id="327" w:name="_Toc5942"/>
      <w:bookmarkStart w:id="328" w:name="_Toc24716"/>
      <w:bookmarkStart w:id="329" w:name="_Toc31013"/>
      <w:bookmarkStart w:id="330" w:name="_Toc28671"/>
      <w:bookmarkStart w:id="331" w:name="_Toc24419"/>
      <w:bookmarkStart w:id="332" w:name="_Toc24354"/>
      <w:bookmarkStart w:id="333" w:name="_Toc25320"/>
      <w:bookmarkStart w:id="334" w:name="_Toc6786"/>
      <w:bookmarkStart w:id="335" w:name="_Toc14276"/>
      <w:bookmarkStart w:id="336" w:name="_Toc717"/>
      <w:bookmarkStart w:id="337" w:name="_Toc27320"/>
      <w:bookmarkStart w:id="338" w:name="_Toc2397"/>
      <w:bookmarkStart w:id="339" w:name="_Toc4196"/>
      <w:r>
        <w:rPr>
          <w:rFonts w:hint="eastAsia" w:ascii="楷体" w:hAnsi="楷体" w:eastAsia="楷体" w:cs="楷体"/>
          <w:b/>
          <w:bCs/>
          <w:sz w:val="32"/>
          <w:szCs w:val="32"/>
        </w:rPr>
        <w:t xml:space="preserve">第二节 </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Pr>
          <w:rFonts w:hint="eastAsia" w:ascii="楷体" w:hAnsi="楷体" w:eastAsia="楷体" w:cs="楷体"/>
          <w:b/>
          <w:bCs/>
          <w:sz w:val="32"/>
          <w:szCs w:val="32"/>
        </w:rPr>
        <w:t>“十三五”发展</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Pr>
          <w:rFonts w:hint="eastAsia" w:ascii="楷体" w:hAnsi="楷体" w:eastAsia="楷体" w:cs="楷体"/>
          <w:b/>
          <w:bCs/>
          <w:sz w:val="32"/>
          <w:szCs w:val="32"/>
        </w:rPr>
        <w:t>成就</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pPr>
        <w:adjustRightInd w:val="0"/>
        <w:snapToGrid w:val="0"/>
        <w:spacing w:line="60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sz w:val="32"/>
          <w:szCs w:val="32"/>
        </w:rPr>
        <w:t>发展质量跃上更高台阶。</w:t>
      </w:r>
      <w:r>
        <w:rPr>
          <w:rFonts w:hint="eastAsia" w:ascii="仿宋_GB2312" w:hAnsi="仿宋_GB2312" w:eastAsia="仿宋_GB2312" w:cs="仿宋_GB2312"/>
          <w:kern w:val="0"/>
          <w:sz w:val="32"/>
          <w:szCs w:val="32"/>
        </w:rPr>
        <w:t>综合经济实力、创新能级大幅跃升，“十三五”时期地区生产总值年均增长7.1%，地均、人均GDP居内地城市前列，单位GDP能耗、水耗居全国大中城市最低水平。规模以上工业总产值跃居全国城市首位，战略性新兴产业增加值突破万亿元，高新技术产业发展成为全国一面旗帜。大湾区综合性国家科学中心主阵地、国家实验室落地深圳，光明科学城、河套深港科技创新合作区、</w:t>
      </w:r>
      <w:r>
        <w:rPr>
          <w:rFonts w:hint="eastAsia" w:ascii="仿宋_GB2312" w:hAnsi="仿宋_GB2312" w:eastAsia="仿宋_GB2312" w:cs="仿宋_GB2312"/>
          <w:kern w:val="0"/>
          <w:sz w:val="32"/>
          <w:szCs w:val="32"/>
          <w:lang w:val="zh-CN"/>
        </w:rPr>
        <w:t>西丽湖国际科教城等重大平台</w:t>
      </w:r>
      <w:r>
        <w:rPr>
          <w:rFonts w:hint="eastAsia" w:ascii="仿宋_GB2312" w:hAnsi="仿宋_GB2312" w:eastAsia="仿宋_GB2312" w:cs="仿宋_GB2312"/>
          <w:kern w:val="0"/>
          <w:sz w:val="32"/>
          <w:szCs w:val="32"/>
        </w:rPr>
        <w:t>加快建设。全社会研发投入占地区生产总值比重达4.93%，创设全国首支规模达百亿元的天使投资引导基金，构建形成“基础研究+技术攻关+成果产业化+科技金融+人才支撑”全过程创新生态链。</w:t>
      </w:r>
    </w:p>
    <w:p>
      <w:pPr>
        <w:adjustRightInd w:val="0"/>
        <w:snapToGrid w:val="0"/>
        <w:spacing w:line="60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sz w:val="32"/>
          <w:szCs w:val="32"/>
        </w:rPr>
        <w:t>改革开放实现重大突破。</w:t>
      </w:r>
      <w:r>
        <w:rPr>
          <w:rFonts w:hint="eastAsia" w:ascii="仿宋_GB2312" w:hAnsi="仿宋_GB2312" w:eastAsia="仿宋_GB2312" w:cs="仿宋_GB2312"/>
          <w:kern w:val="0"/>
          <w:sz w:val="32"/>
          <w:szCs w:val="32"/>
        </w:rPr>
        <w:t>全面推进党的十八届三中全会部署的改革任务，入选全国首批营商环境创新试点城市，商事主体数量、创业密度居全国大中城市首位，本土世界500强企业增至8家、实现翻番，全球招商大会成果丰硕。科技供给侧结构性改革、国资国企改革、创业板改革并试点注册制、住房制度改革等成效显著，顺利完成机构改革。积极参与“一带一路”建设，主动融入省“一核一带一区”区域发展格局，在粤港澳大湾区中的核心引擎功能显著增强，广深港高铁、莲塘/香园围口岸建成使用，深港澳合作更加紧密，前海发展生机勃勃，出口总额实现全国“二十八连冠”，成为全国改革开放的一面旗帜。</w:t>
      </w:r>
    </w:p>
    <w:p>
      <w:pPr>
        <w:spacing w:line="600" w:lineRule="exact"/>
        <w:ind w:firstLine="643" w:firstLineChars="200"/>
      </w:pPr>
      <w:r>
        <w:rPr>
          <w:rFonts w:hint="eastAsia" w:ascii="仿宋_GB2312" w:hAnsi="仿宋_GB2312" w:eastAsia="仿宋_GB2312" w:cs="仿宋_GB2312"/>
          <w:b/>
          <w:bCs/>
          <w:sz w:val="32"/>
          <w:szCs w:val="32"/>
        </w:rPr>
        <w:t>现代化城市功能品质大幅提升。</w:t>
      </w:r>
      <w:r>
        <w:rPr>
          <w:rFonts w:hint="eastAsia" w:ascii="仿宋_GB2312" w:hAnsi="仿宋_GB2312" w:eastAsia="仿宋_GB2312" w:cs="仿宋_GB2312"/>
          <w:kern w:val="0"/>
          <w:sz w:val="32"/>
          <w:szCs w:val="32"/>
          <w:lang w:val="zh-CN"/>
        </w:rPr>
        <w:t>全市域高质量一体化发展加速推进，“二线关”15个关口全部拆除，</w:t>
      </w:r>
      <w:r>
        <w:rPr>
          <w:rFonts w:hint="eastAsia" w:ascii="仿宋_GB2312" w:hAnsi="仿宋_GB2312" w:eastAsia="仿宋_GB2312" w:cs="仿宋_GB2312"/>
          <w:sz w:val="32"/>
          <w:szCs w:val="32"/>
          <w:lang w:bidi="ar"/>
        </w:rPr>
        <w:t>深汕特别合作区探索“飞地”发展模式初见成效</w:t>
      </w:r>
      <w:r>
        <w:rPr>
          <w:rFonts w:hint="eastAsia" w:ascii="仿宋_GB2312" w:hAnsi="仿宋_GB2312" w:eastAsia="仿宋_GB2312" w:cs="仿宋_GB2312"/>
          <w:kern w:val="0"/>
          <w:sz w:val="32"/>
          <w:szCs w:val="32"/>
          <w:lang w:val="zh-CN"/>
        </w:rPr>
        <w:t>。深圳湾超级总部基地等重点区域建设全面提速，国际会展中心、平安金融中心等城市新地标拔地而起。入选国家交通强国首批建设试点，地铁运营总里程超过</w:t>
      </w:r>
      <w:r>
        <w:rPr>
          <w:rFonts w:hint="eastAsia" w:ascii="仿宋_GB2312" w:hAnsi="仿宋_GB2312" w:eastAsia="仿宋_GB2312" w:cs="仿宋_GB2312"/>
          <w:kern w:val="0"/>
          <w:sz w:val="32"/>
          <w:szCs w:val="32"/>
        </w:rPr>
        <w:t>4</w:t>
      </w:r>
      <w:r>
        <w:rPr>
          <w:rFonts w:hint="eastAsia" w:ascii="仿宋_GB2312" w:hAnsi="仿宋_GB2312" w:eastAsia="仿宋_GB2312" w:cs="仿宋_GB2312"/>
          <w:kern w:val="0"/>
          <w:sz w:val="32"/>
          <w:szCs w:val="32"/>
          <w:lang w:val="zh-CN"/>
        </w:rPr>
        <w:t>00公里，</w:t>
      </w:r>
      <w:r>
        <w:rPr>
          <w:rFonts w:hint="eastAsia" w:ascii="仿宋_GB2312" w:hAnsi="仿宋_GB2312" w:eastAsia="仿宋_GB2312" w:cs="仿宋_GB2312"/>
          <w:color w:val="000000"/>
          <w:kern w:val="0"/>
          <w:sz w:val="32"/>
          <w:szCs w:val="32"/>
        </w:rPr>
        <w:t>机场三跑道、深中通道等开工建设，高快速路网加快建设</w:t>
      </w:r>
      <w:r>
        <w:rPr>
          <w:rFonts w:hint="eastAsia" w:ascii="仿宋_GB2312" w:hAnsi="仿宋_GB2312" w:eastAsia="仿宋_GB2312" w:cs="仿宋_GB2312"/>
          <w:kern w:val="0"/>
          <w:sz w:val="32"/>
          <w:szCs w:val="32"/>
          <w:lang w:val="zh-CN"/>
        </w:rPr>
        <w:t>。</w:t>
      </w:r>
      <w:r>
        <w:rPr>
          <w:rFonts w:hint="eastAsia" w:ascii="仿宋_GB2312" w:hAnsi="仿宋_GB2312" w:eastAsia="仿宋_GB2312" w:cs="仿宋_GB2312"/>
          <w:kern w:val="0"/>
          <w:sz w:val="32"/>
          <w:szCs w:val="32"/>
        </w:rPr>
        <w:t>在全国网上政务服务能力评估中位居首位，在</w:t>
      </w:r>
      <w:r>
        <w:rPr>
          <w:rFonts w:hint="eastAsia" w:ascii="仿宋_GB2312" w:hAnsi="仿宋_GB2312" w:eastAsia="仿宋_GB2312" w:cs="仿宋_GB2312"/>
          <w:kern w:val="0"/>
          <w:sz w:val="32"/>
          <w:szCs w:val="32"/>
          <w:lang w:val="zh-CN"/>
        </w:rPr>
        <w:t>全球率先实现5G独立组网全市域覆盖。国土空间提质增效取得重大突破，盘活存量低效土地9</w:t>
      </w:r>
      <w:r>
        <w:rPr>
          <w:rFonts w:hint="eastAsia" w:ascii="仿宋_GB2312" w:hAnsi="仿宋_GB2312" w:eastAsia="仿宋_GB2312" w:cs="仿宋_GB2312"/>
          <w:kern w:val="0"/>
          <w:sz w:val="32"/>
          <w:szCs w:val="32"/>
        </w:rPr>
        <w:t>3</w:t>
      </w:r>
      <w:r>
        <w:rPr>
          <w:rFonts w:hint="eastAsia" w:ascii="仿宋_GB2312" w:hAnsi="仿宋_GB2312" w:eastAsia="仿宋_GB2312" w:cs="仿宋_GB2312"/>
          <w:kern w:val="0"/>
          <w:sz w:val="32"/>
          <w:szCs w:val="32"/>
          <w:lang w:val="zh-CN"/>
        </w:rPr>
        <w:t>平方公里。大力推进“厕所革命”和生活垃圾分类，城中村面貌和治理水平显著提升。</w:t>
      </w:r>
    </w:p>
    <w:p>
      <w:pPr>
        <w:adjustRightInd w:val="0"/>
        <w:snapToGrid w:val="0"/>
        <w:spacing w:line="600" w:lineRule="exact"/>
        <w:ind w:firstLine="643"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b/>
          <w:bCs/>
          <w:sz w:val="32"/>
          <w:szCs w:val="32"/>
        </w:rPr>
        <w:t>民生社会事业显著进步。</w:t>
      </w:r>
      <w:r>
        <w:rPr>
          <w:rFonts w:hint="eastAsia" w:ascii="仿宋_GB2312" w:hAnsi="仿宋_GB2312" w:eastAsia="仿宋_GB2312" w:cs="仿宋_GB2312"/>
          <w:kern w:val="0"/>
          <w:sz w:val="32"/>
          <w:szCs w:val="32"/>
        </w:rPr>
        <w:t>持续将财政支出近7成投向民生领域。就业形势总体稳定，养老服务体系基本建成，社会保障水平稳步提高。基础教育学位数量增长近30%，职业教育水平全国领先，高校数量增至15所</w:t>
      </w:r>
      <w:r>
        <w:rPr>
          <w:rFonts w:hint="eastAsia" w:ascii="仿宋_GB2312" w:hAnsi="仿宋_GB2312" w:eastAsia="仿宋_GB2312" w:cs="仿宋_GB2312"/>
          <w:color w:val="000000"/>
          <w:sz w:val="32"/>
          <w:szCs w:val="32"/>
        </w:rPr>
        <w:t>。引进中国医学科学院肿瘤医院、阜外医院等一批高水平医院，三甲医院总量接近翻番。落实“房住不炒”要求，构建新的住房供应保障体系，建设筹集公共住房44</w:t>
      </w:r>
      <w:r>
        <w:rPr>
          <w:rFonts w:ascii="仿宋_GB2312" w:hAnsi="仿宋_GB2312" w:eastAsia="仿宋_GB2312" w:cs="仿宋_GB2312"/>
          <w:color w:val="000000"/>
          <w:sz w:val="32"/>
          <w:szCs w:val="32"/>
        </w:rPr>
        <w:t>万套</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kern w:val="0"/>
          <w:sz w:val="32"/>
          <w:szCs w:val="32"/>
        </w:rPr>
        <w:t>“新时代十大文化设施”建设、“十大特色文化街区”改造全面启动，连续六届入选全国文明城市。</w:t>
      </w:r>
      <w:r>
        <w:rPr>
          <w:rFonts w:hint="eastAsia" w:ascii="仿宋_GB2312" w:hAnsi="仿宋_GB2312" w:eastAsia="仿宋_GB2312" w:cs="仿宋_GB2312"/>
          <w:sz w:val="32"/>
          <w:szCs w:val="32"/>
        </w:rPr>
        <w:t>文化及相关产业增加值</w:t>
      </w:r>
      <w:r>
        <w:rPr>
          <w:rFonts w:hint="eastAsia" w:ascii="仿宋_GB2312" w:hAnsi="仿宋_GB2312" w:eastAsia="仿宋_GB2312" w:cs="仿宋_GB2312"/>
          <w:kern w:val="0"/>
          <w:sz w:val="32"/>
          <w:szCs w:val="32"/>
        </w:rPr>
        <w:t>占地区生产总值比重达8%。军民团结不断巩固。</w:t>
      </w:r>
    </w:p>
    <w:p>
      <w:pPr>
        <w:adjustRightInd w:val="0"/>
        <w:snapToGrid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三大攻坚战取得重大成果。</w:t>
      </w:r>
      <w:r>
        <w:rPr>
          <w:rFonts w:hint="eastAsia" w:ascii="仿宋_GB2312" w:hAnsi="仿宋_GB2312" w:eastAsia="仿宋_GB2312" w:cs="仿宋_GB2312"/>
          <w:kern w:val="0"/>
          <w:sz w:val="32"/>
          <w:szCs w:val="32"/>
        </w:rPr>
        <w:t>在全国率先实现全市域消除黑臭水体，水环境实现历史性、根本性、整体性好转。PM</w:t>
      </w:r>
      <w:r>
        <w:rPr>
          <w:rFonts w:ascii="仿宋_GB2312" w:hAnsi="仿宋_GB2312" w:eastAsia="仿宋_GB2312" w:cs="仿宋_GB2312"/>
          <w:kern w:val="0"/>
          <w:sz w:val="32"/>
          <w:szCs w:val="32"/>
          <w:vertAlign w:val="subscript"/>
        </w:rPr>
        <w:t>2.5</w:t>
      </w:r>
      <w:r>
        <w:rPr>
          <w:rFonts w:hint="eastAsia" w:ascii="仿宋_GB2312" w:hAnsi="仿宋_GB2312" w:eastAsia="仿宋_GB2312" w:cs="仿宋_GB2312"/>
          <w:kern w:val="0"/>
          <w:sz w:val="32"/>
          <w:szCs w:val="32"/>
        </w:rPr>
        <w:t>年均浓度达到国际先进水平，入选国家“无废城市”建设试点，获批国家可持续发展议程创新示范区，</w:t>
      </w:r>
      <w:r>
        <w:rPr>
          <w:rFonts w:hint="eastAsia" w:ascii="仿宋_GB2312" w:hAnsi="仿宋_GB2312" w:eastAsia="仿宋_GB2312" w:cs="仿宋_GB2312"/>
          <w:sz w:val="32"/>
          <w:szCs w:val="32"/>
        </w:rPr>
        <w:t>获评生态文明建设示范市</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zh-CN"/>
        </w:rPr>
        <w:t>建成国家森林城市和“千座公园之城”，</w:t>
      </w:r>
      <w:r>
        <w:rPr>
          <w:rFonts w:hint="eastAsia" w:ascii="仿宋_GB2312" w:hAnsi="仿宋_GB2312" w:eastAsia="仿宋_GB2312" w:cs="仿宋_GB2312"/>
          <w:kern w:val="0"/>
          <w:sz w:val="32"/>
          <w:szCs w:val="32"/>
        </w:rPr>
        <w:t>碧水蓝天绿地成为城市靓丽名片。</w:t>
      </w:r>
      <w:r>
        <w:rPr>
          <w:rFonts w:hint="eastAsia" w:ascii="仿宋_GB2312" w:hAnsi="仿宋_GB2312" w:eastAsia="仿宋_GB2312" w:cs="仿宋_GB2312"/>
          <w:sz w:val="32"/>
          <w:szCs w:val="32"/>
        </w:rPr>
        <w:t>对口帮扶贫困县全部摘帽，助力9省54县（区、市）204万人口实现脱贫，连续4年被评为全国扶贫协作“好”档次。深入推进平安深圳建设，</w:t>
      </w:r>
      <w:r>
        <w:rPr>
          <w:rFonts w:hint="eastAsia" w:ascii="仿宋_GB2312" w:hAnsi="仿宋_GB2312" w:eastAsia="仿宋_GB2312" w:cs="仿宋_GB2312"/>
          <w:kern w:val="0"/>
          <w:sz w:val="32"/>
          <w:szCs w:val="32"/>
        </w:rPr>
        <w:t>有序开展P2P网贷平台、问题私募基金风险防控处置工作，有力防御超强台风“山竹”等重大自然灾害，</w:t>
      </w:r>
      <w:r>
        <w:rPr>
          <w:rFonts w:hint="eastAsia" w:ascii="仿宋_GB2312" w:hAnsi="仿宋_GB2312" w:eastAsia="仿宋_GB2312" w:cs="仿宋_GB2312"/>
          <w:color w:val="000000"/>
          <w:kern w:val="0"/>
          <w:sz w:val="32"/>
          <w:szCs w:val="32"/>
        </w:rPr>
        <w:t>扫黑除恶专项斗争行动获中央督导组充分肯定，</w:t>
      </w:r>
      <w:r>
        <w:rPr>
          <w:rFonts w:hint="eastAsia" w:ascii="仿宋_GB2312" w:hAnsi="仿宋_GB2312" w:eastAsia="仿宋_GB2312" w:cs="仿宋_GB2312"/>
          <w:sz w:val="32"/>
          <w:szCs w:val="32"/>
        </w:rPr>
        <w:t>社会大局保持和谐稳定。</w:t>
      </w:r>
    </w:p>
    <w:p>
      <w:pPr>
        <w:overflowPunct w:val="0"/>
        <w:snapToGrid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统筹新冠肺炎疫情防控和经济社会发展取得重大战略成果。</w:t>
      </w:r>
      <w:r>
        <w:rPr>
          <w:rFonts w:hint="eastAsia" w:ascii="仿宋_GB2312" w:hAnsi="仿宋_GB2312" w:eastAsia="仿宋_GB2312" w:cs="仿宋_GB2312"/>
          <w:sz w:val="32"/>
          <w:szCs w:val="32"/>
        </w:rPr>
        <w:t>面对突如其来的新冠肺炎疫情，坚持外严防输入、内严防扩散、严防再输出，用一个月时间遏制疫情蔓延势头，用两个月时间实现境内确诊病例清零，打赢社区小区防控、应急物资筹措、入境人员集中隔离、深港联防联控等多场硬仗，抗疫经验和做法被世界卫生组织作为典型案例向全球推介。通过“惠企16条”等有力举措，深圳经济增速在全国一线城市中率先转正，成为中国经济复苏的“风向标”，交出一份超大型城市抗击疫情的优异答卷。</w:t>
      </w:r>
    </w:p>
    <w:p>
      <w:pPr>
        <w:pStyle w:val="34"/>
        <w:ind w:firstLine="480"/>
      </w:pPr>
    </w:p>
    <w:p>
      <w:pPr>
        <w:spacing w:line="600" w:lineRule="exact"/>
        <w:jc w:val="center"/>
        <w:outlineLvl w:val="2"/>
        <w:rPr>
          <w:rFonts w:ascii="楷体" w:hAnsi="楷体" w:eastAsia="楷体" w:cs="楷体"/>
          <w:b/>
          <w:bCs/>
          <w:sz w:val="32"/>
          <w:szCs w:val="32"/>
        </w:rPr>
      </w:pPr>
      <w:bookmarkStart w:id="340" w:name="_Toc17811"/>
      <w:bookmarkStart w:id="341" w:name="_Toc20856"/>
      <w:bookmarkStart w:id="342" w:name="_Toc14170"/>
      <w:bookmarkStart w:id="343" w:name="_Toc26125"/>
      <w:bookmarkStart w:id="344" w:name="_Toc24019"/>
      <w:bookmarkStart w:id="345" w:name="_Toc27939"/>
      <w:bookmarkStart w:id="346" w:name="_Toc4462"/>
      <w:bookmarkStart w:id="347" w:name="_Toc26323"/>
      <w:bookmarkStart w:id="348" w:name="_Toc4138"/>
      <w:bookmarkStart w:id="349" w:name="_Toc19387"/>
      <w:bookmarkStart w:id="350" w:name="_Toc17470"/>
      <w:bookmarkStart w:id="351" w:name="_Toc19517"/>
      <w:bookmarkStart w:id="352" w:name="_Toc13577"/>
      <w:bookmarkStart w:id="353" w:name="_Toc22162"/>
      <w:bookmarkStart w:id="354" w:name="_Toc1421"/>
      <w:bookmarkStart w:id="355" w:name="_Toc30313"/>
      <w:bookmarkStart w:id="356" w:name="_Toc8658"/>
      <w:bookmarkStart w:id="357" w:name="_Toc3846"/>
      <w:bookmarkStart w:id="358" w:name="_Toc24472"/>
      <w:bookmarkStart w:id="359" w:name="_Toc22665"/>
      <w:bookmarkStart w:id="360" w:name="_Toc30960"/>
      <w:bookmarkStart w:id="361" w:name="_Toc23202"/>
      <w:bookmarkStart w:id="362" w:name="_Toc20925"/>
      <w:bookmarkStart w:id="363" w:name="_Toc20003"/>
      <w:bookmarkStart w:id="364" w:name="_Toc506"/>
      <w:bookmarkStart w:id="365" w:name="_Toc23142"/>
      <w:bookmarkStart w:id="366" w:name="_Toc15479"/>
      <w:bookmarkStart w:id="367" w:name="_Toc11509"/>
      <w:bookmarkStart w:id="368" w:name="_Toc7608"/>
      <w:bookmarkStart w:id="369" w:name="_Toc21328"/>
      <w:bookmarkStart w:id="370" w:name="_Toc9537"/>
      <w:bookmarkStart w:id="371" w:name="_Toc17753"/>
      <w:bookmarkStart w:id="372" w:name="_Toc1935"/>
      <w:bookmarkStart w:id="373" w:name="_Toc13148"/>
      <w:bookmarkStart w:id="374" w:name="_Toc20296"/>
      <w:bookmarkStart w:id="375" w:name="_Toc29833"/>
      <w:bookmarkStart w:id="376" w:name="_Toc32114"/>
      <w:bookmarkStart w:id="377" w:name="_Toc9325"/>
      <w:bookmarkStart w:id="378" w:name="_Toc4313"/>
      <w:bookmarkStart w:id="379" w:name="_Toc30199"/>
      <w:bookmarkStart w:id="380" w:name="_Toc6165"/>
      <w:bookmarkStart w:id="381" w:name="_Toc8543"/>
      <w:bookmarkStart w:id="382" w:name="_Toc15015"/>
      <w:bookmarkStart w:id="383" w:name="_Toc7559"/>
      <w:bookmarkStart w:id="384" w:name="_Toc12620"/>
      <w:bookmarkStart w:id="385" w:name="_Toc13371"/>
      <w:bookmarkStart w:id="386" w:name="_Toc30223"/>
      <w:bookmarkStart w:id="387" w:name="_Toc28109"/>
      <w:bookmarkStart w:id="388" w:name="_Toc13103"/>
      <w:bookmarkStart w:id="389" w:name="_Toc20583"/>
      <w:bookmarkStart w:id="390" w:name="_Toc13778"/>
      <w:bookmarkStart w:id="391" w:name="_Toc26437"/>
      <w:bookmarkStart w:id="392" w:name="_Toc10905"/>
      <w:bookmarkStart w:id="393" w:name="_Toc29883"/>
      <w:bookmarkStart w:id="394" w:name="_Toc17378"/>
      <w:bookmarkStart w:id="395" w:name="_Toc29117"/>
      <w:bookmarkStart w:id="396" w:name="_Toc27229"/>
      <w:bookmarkStart w:id="397" w:name="_Toc17321"/>
      <w:bookmarkStart w:id="398" w:name="_Toc15001"/>
      <w:bookmarkStart w:id="399" w:name="_Toc11457"/>
      <w:bookmarkStart w:id="400" w:name="_Toc24996"/>
      <w:bookmarkStart w:id="401" w:name="_Toc7761"/>
      <w:bookmarkStart w:id="402" w:name="_Toc21600"/>
      <w:bookmarkStart w:id="403" w:name="_Toc7828"/>
      <w:bookmarkStart w:id="404" w:name="_Toc12406"/>
      <w:bookmarkStart w:id="405" w:name="_Toc17153"/>
      <w:bookmarkStart w:id="406" w:name="_Toc31855"/>
      <w:bookmarkStart w:id="407" w:name="_Toc25251"/>
      <w:bookmarkStart w:id="408" w:name="_Toc15960"/>
      <w:bookmarkStart w:id="409" w:name="_Toc9426"/>
      <w:bookmarkStart w:id="410" w:name="_Toc28737"/>
      <w:bookmarkStart w:id="411" w:name="_Toc12953"/>
      <w:bookmarkStart w:id="412" w:name="_Toc32510"/>
      <w:bookmarkStart w:id="413" w:name="_Toc26236"/>
      <w:bookmarkStart w:id="414" w:name="_Toc17346"/>
      <w:bookmarkStart w:id="415" w:name="_Toc22330"/>
      <w:bookmarkStart w:id="416" w:name="_Toc7712"/>
      <w:bookmarkStart w:id="417" w:name="_Toc628"/>
      <w:bookmarkStart w:id="418" w:name="_Toc30984"/>
      <w:r>
        <w:rPr>
          <w:rFonts w:hint="eastAsia" w:ascii="楷体" w:hAnsi="楷体" w:eastAsia="楷体" w:cs="楷体"/>
          <w:b/>
          <w:bCs/>
          <w:sz w:val="32"/>
          <w:szCs w:val="32"/>
        </w:rPr>
        <w:t>第三节 “十四五”发展环境</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bookmarkEnd w:id="417"/>
    <w:bookmarkEnd w:id="418"/>
    <w:p>
      <w:pPr>
        <w:pStyle w:val="36"/>
        <w:overflowPunct w:val="0"/>
        <w:adjustRightInd w:val="0"/>
        <w:snapToGrid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当今世界正经历百年未有之大变局。</w:t>
      </w:r>
      <w:r>
        <w:rPr>
          <w:rFonts w:hint="eastAsia" w:ascii="仿宋_GB2312" w:hAnsi="仿宋_GB2312" w:eastAsia="仿宋_GB2312" w:cs="仿宋_GB2312"/>
          <w:sz w:val="32"/>
          <w:szCs w:val="32"/>
        </w:rPr>
        <w:t>国际环境日趋复杂，不稳定性不确定性明显增加，世界进入动荡变革期，国际力量对比深刻调整，但</w:t>
      </w:r>
      <w:r>
        <w:rPr>
          <w:rFonts w:hint="eastAsia" w:ascii="仿宋_GB2312" w:hAnsi="Arial" w:eastAsia="仿宋_GB2312" w:cs="Arial"/>
          <w:color w:val="1C1C1C"/>
          <w:sz w:val="32"/>
          <w:szCs w:val="32"/>
        </w:rPr>
        <w:t>和平与发展仍然是时代主题，人类命运共同体理念深入人心</w:t>
      </w:r>
      <w:r>
        <w:rPr>
          <w:rFonts w:hint="eastAsia" w:ascii="仿宋_GB2312" w:hAnsi="仿宋_GB2312" w:eastAsia="仿宋_GB2312" w:cs="仿宋_GB2312"/>
          <w:sz w:val="32"/>
          <w:szCs w:val="32"/>
        </w:rPr>
        <w:t>。经济全球化遭遇逆流，保护主义、单边主义上升，国际经贸规则面临重建。世界经济低迷，国际贸易和投资大幅萎缩，国际分工格局加速调整。新一轮科技革命和产业变革深入发展，呈现智能化主导、融合式聚变、多点突破的态势。深圳必须坚持国际视野，增强机遇意识和风险意识，勇于开顶风船，善于化危为机。</w:t>
      </w:r>
    </w:p>
    <w:p>
      <w:pPr>
        <w:snapToGrid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中华民族伟大复兴战略进入关键时期。</w:t>
      </w:r>
      <w:r>
        <w:rPr>
          <w:rFonts w:hint="eastAsia" w:ascii="仿宋_GB2312" w:hAnsi="仿宋_GB2312" w:eastAsia="仿宋_GB2312" w:cs="仿宋_GB2312"/>
          <w:sz w:val="32"/>
          <w:szCs w:val="32"/>
        </w:rPr>
        <w:t>我国发展仍然处于重要战略机遇期，但机遇和挑战都有新的发展变化，机遇更具战略性、可塑性，挑战更具复杂性、全局性。我国经济已由高速增长阶段转向高质量发展阶段，正由中等收入国家向高收入国家迈进，正处于跨越常规性、长期性关口的攻坚阶段，正加快构建以国内大循环为主体、国内国际双循环相互促进的新发展格局。深圳必须从我国进入新发展阶段大局出发，树立底线思维，统筹发展和安全，准确识变、科学应变、主动求变。</w:t>
      </w:r>
    </w:p>
    <w:p>
      <w:pPr>
        <w:spacing w:line="600" w:lineRule="exact"/>
      </w:pPr>
    </w:p>
    <w:p>
      <w:pPr>
        <w:spacing w:line="600" w:lineRule="exact"/>
        <w:jc w:val="center"/>
        <w:outlineLvl w:val="2"/>
        <w:rPr>
          <w:rFonts w:ascii="楷体" w:hAnsi="楷体" w:eastAsia="楷体" w:cs="楷体"/>
          <w:b/>
          <w:bCs/>
          <w:sz w:val="32"/>
          <w:szCs w:val="32"/>
        </w:rPr>
      </w:pPr>
      <w:bookmarkStart w:id="419" w:name="_Toc30364"/>
      <w:bookmarkStart w:id="420" w:name="_Toc22822"/>
      <w:bookmarkStart w:id="421" w:name="_Toc29362"/>
      <w:bookmarkStart w:id="422" w:name="_Toc9184"/>
      <w:bookmarkStart w:id="423" w:name="_Toc21626"/>
      <w:bookmarkStart w:id="424" w:name="_Toc20670"/>
      <w:bookmarkStart w:id="425" w:name="_Toc14653"/>
      <w:bookmarkStart w:id="426" w:name="_Toc30683"/>
      <w:bookmarkStart w:id="427" w:name="_Toc28510"/>
      <w:bookmarkStart w:id="428" w:name="_Toc28953"/>
      <w:bookmarkStart w:id="429" w:name="_Toc1487"/>
      <w:bookmarkStart w:id="430" w:name="_Toc30586"/>
      <w:bookmarkStart w:id="431" w:name="_Toc5897"/>
      <w:bookmarkStart w:id="432" w:name="_Toc13985"/>
      <w:bookmarkStart w:id="433" w:name="_Toc25005"/>
      <w:bookmarkStart w:id="434" w:name="_Toc4631"/>
      <w:bookmarkStart w:id="435" w:name="_Toc18378"/>
      <w:bookmarkStart w:id="436" w:name="_Toc32348"/>
      <w:bookmarkStart w:id="437" w:name="_Toc4474"/>
      <w:bookmarkStart w:id="438" w:name="_Toc29418"/>
      <w:bookmarkStart w:id="439" w:name="_Toc423"/>
      <w:bookmarkStart w:id="440" w:name="_Toc1691"/>
      <w:bookmarkStart w:id="441" w:name="_Toc10413"/>
      <w:bookmarkStart w:id="442" w:name="_Toc1392"/>
      <w:bookmarkStart w:id="443" w:name="_Toc20749"/>
      <w:bookmarkStart w:id="444" w:name="_Toc24164"/>
      <w:bookmarkStart w:id="445" w:name="_Toc28712"/>
      <w:bookmarkStart w:id="446" w:name="_Toc9885"/>
      <w:bookmarkStart w:id="447" w:name="_Toc18199"/>
      <w:bookmarkStart w:id="448" w:name="_Toc17046"/>
      <w:bookmarkStart w:id="449" w:name="_Toc14094"/>
      <w:bookmarkStart w:id="450" w:name="_Toc20160"/>
      <w:bookmarkStart w:id="451" w:name="_Toc31392"/>
      <w:bookmarkStart w:id="452" w:name="_Toc29157"/>
      <w:bookmarkStart w:id="453" w:name="_Toc14586"/>
      <w:bookmarkStart w:id="454" w:name="_Toc7103"/>
      <w:bookmarkStart w:id="455" w:name="_Toc18747"/>
      <w:bookmarkStart w:id="456" w:name="_Toc25065"/>
      <w:bookmarkStart w:id="457" w:name="_Toc1152"/>
      <w:bookmarkStart w:id="458" w:name="_Toc10153"/>
      <w:bookmarkStart w:id="459" w:name="_Toc11691"/>
      <w:bookmarkStart w:id="460" w:name="_Toc28013"/>
      <w:bookmarkStart w:id="461" w:name="_Toc15170"/>
      <w:bookmarkStart w:id="462" w:name="_Toc16172"/>
      <w:bookmarkStart w:id="463" w:name="_Toc3708"/>
      <w:bookmarkStart w:id="464" w:name="_Toc352"/>
      <w:bookmarkStart w:id="465" w:name="_Toc7928"/>
      <w:bookmarkStart w:id="466" w:name="_Toc3856"/>
      <w:bookmarkStart w:id="467" w:name="_Toc21790"/>
      <w:bookmarkStart w:id="468" w:name="_Toc23756"/>
      <w:bookmarkStart w:id="469" w:name="_Toc26019"/>
      <w:bookmarkStart w:id="470" w:name="_Toc21902"/>
      <w:bookmarkStart w:id="471" w:name="_Toc11150"/>
      <w:bookmarkStart w:id="472" w:name="_Toc29002"/>
      <w:bookmarkStart w:id="473" w:name="_Toc4832"/>
      <w:bookmarkStart w:id="474" w:name="_Toc23281"/>
      <w:bookmarkStart w:id="475" w:name="_Toc3392"/>
      <w:bookmarkStart w:id="476" w:name="_Toc959"/>
      <w:bookmarkStart w:id="477" w:name="_Toc29172"/>
      <w:bookmarkStart w:id="478" w:name="_Toc10210"/>
      <w:bookmarkStart w:id="479" w:name="_Toc15541"/>
      <w:bookmarkStart w:id="480" w:name="_Toc6979"/>
      <w:bookmarkStart w:id="481" w:name="_Toc13024"/>
      <w:bookmarkStart w:id="482" w:name="_Toc318"/>
      <w:bookmarkStart w:id="483" w:name="_Toc8496"/>
      <w:bookmarkStart w:id="484" w:name="_Toc18978"/>
      <w:bookmarkStart w:id="485" w:name="_Toc14844"/>
      <w:bookmarkStart w:id="486" w:name="_Toc14655"/>
      <w:bookmarkStart w:id="487" w:name="_Toc23325"/>
      <w:bookmarkStart w:id="488" w:name="_Toc27092"/>
      <w:bookmarkStart w:id="489" w:name="_Toc10285"/>
      <w:bookmarkStart w:id="490" w:name="_Toc24325"/>
      <w:bookmarkStart w:id="491" w:name="_Toc30138"/>
      <w:bookmarkStart w:id="492" w:name="_Toc17458"/>
      <w:bookmarkStart w:id="493" w:name="_Toc27906"/>
      <w:bookmarkStart w:id="494" w:name="_Toc19340"/>
      <w:bookmarkStart w:id="495" w:name="_Toc17974"/>
      <w:bookmarkStart w:id="496" w:name="_Toc7416"/>
      <w:bookmarkStart w:id="497" w:name="_Toc8689"/>
      <w:r>
        <w:rPr>
          <w:rFonts w:hint="eastAsia" w:ascii="楷体" w:hAnsi="楷体" w:eastAsia="楷体" w:cs="楷体"/>
          <w:b/>
          <w:bCs/>
          <w:sz w:val="32"/>
          <w:szCs w:val="32"/>
        </w:rPr>
        <w:t>第四节 发展机遇与面临挑战</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bookmarkEnd w:id="496"/>
    <w:bookmarkEnd w:id="497"/>
    <w:p>
      <w:pPr>
        <w:pStyle w:val="36"/>
        <w:overflowPunct w:val="0"/>
        <w:adjustRightInd w:val="0"/>
        <w:snapToGrid w:val="0"/>
        <w:spacing w:line="580" w:lineRule="exact"/>
        <w:ind w:firstLine="643" w:firstLineChars="200"/>
        <w:rPr>
          <w:rFonts w:ascii="仿宋_GB2312" w:hAnsi="仿宋_GB2312" w:eastAsia="仿宋_GB2312" w:cs="仿宋_GB2312"/>
          <w:bCs/>
          <w:sz w:val="32"/>
          <w:szCs w:val="32"/>
        </w:rPr>
      </w:pPr>
      <w:r>
        <w:rPr>
          <w:rStyle w:val="37"/>
          <w:rFonts w:hint="eastAsia" w:ascii="仿宋_GB2312" w:hAnsi="仿宋_GB2312" w:eastAsia="仿宋_GB2312" w:cs="仿宋_GB2312"/>
          <w:b/>
          <w:sz w:val="32"/>
          <w:szCs w:val="32"/>
        </w:rPr>
        <w:t>发展机遇。</w:t>
      </w:r>
      <w:r>
        <w:rPr>
          <w:rStyle w:val="37"/>
          <w:rFonts w:hint="eastAsia" w:ascii="仿宋_GB2312" w:hAnsi="仿宋_GB2312" w:eastAsia="仿宋_GB2312" w:cs="仿宋_GB2312"/>
          <w:bCs/>
          <w:sz w:val="32"/>
          <w:szCs w:val="32"/>
        </w:rPr>
        <w:t>习近平总书记为新时代深圳经济特区建设擘画了宏伟蓝图，亲自谋划、亲自部署、亲自推动粤港澳大湾区建设，明确要求深圳朝着建设中国特色社会主义先行示范区的方向前行，努力创建社会主义现代化强国的城市范例，部署推动在深圳实施综合改革试点，为深圳发展创造了重大历史机遇。</w:t>
      </w:r>
      <w:r>
        <w:rPr>
          <w:rFonts w:hint="eastAsia" w:ascii="仿宋_GB2312" w:hAnsi="仿宋_GB2312" w:eastAsia="仿宋_GB2312" w:cs="仿宋_GB2312"/>
          <w:bCs/>
          <w:sz w:val="32"/>
          <w:szCs w:val="32"/>
        </w:rPr>
        <w:t>综合性国家科学中心和国家实验室建设全面发力，将大幅提高深圳原始创新能力，强化深圳在全球创新网络中的地位。前海深港现代服务业合作区、河套</w:t>
      </w:r>
      <w:r>
        <w:rPr>
          <w:rFonts w:hint="eastAsia" w:ascii="仿宋_GB2312" w:hAnsi="仿宋_GB2312" w:eastAsia="仿宋_GB2312" w:cs="仿宋_GB2312"/>
          <w:kern w:val="0"/>
          <w:sz w:val="32"/>
          <w:szCs w:val="32"/>
        </w:rPr>
        <w:t>深港科技创新合作区</w:t>
      </w:r>
      <w:r>
        <w:rPr>
          <w:rFonts w:hint="eastAsia" w:ascii="仿宋_GB2312" w:hAnsi="仿宋_GB2312" w:eastAsia="仿宋_GB2312" w:cs="仿宋_GB2312"/>
          <w:bCs/>
          <w:sz w:val="32"/>
          <w:szCs w:val="32"/>
        </w:rPr>
        <w:t>等国家级重大平台加快建设，将推动深港澳更紧密合作，打造高水平对外开放门户枢纽。深圳都市圈和重点片区高标准规划建设，将大幅提升深圳经济和人口承载力，增强城市发展后劲。</w:t>
      </w:r>
    </w:p>
    <w:p>
      <w:pPr>
        <w:overflowPunct w:val="0"/>
        <w:snapToGrid w:val="0"/>
        <w:spacing w:line="580" w:lineRule="exact"/>
        <w:ind w:firstLine="643" w:firstLineChars="200"/>
        <w:rPr>
          <w:rFonts w:ascii="仿宋_GB2312" w:hAnsi="黑体" w:eastAsia="仿宋_GB2312" w:cstheme="minorBidi"/>
          <w:sz w:val="32"/>
          <w:szCs w:val="32"/>
        </w:rPr>
      </w:pPr>
      <w:r>
        <w:rPr>
          <w:rFonts w:hint="eastAsia" w:ascii="仿宋_GB2312" w:hAnsi="黑体" w:eastAsia="仿宋_GB2312" w:cstheme="minorBidi"/>
          <w:b/>
          <w:bCs/>
          <w:sz w:val="32"/>
          <w:szCs w:val="32"/>
        </w:rPr>
        <w:t>面临挑战</w:t>
      </w:r>
      <w:r>
        <w:rPr>
          <w:rStyle w:val="37"/>
          <w:rFonts w:hint="eastAsia" w:ascii="仿宋_GB2312" w:hAnsi="仿宋_GB2312" w:eastAsia="仿宋_GB2312" w:cs="仿宋_GB2312"/>
          <w:b/>
          <w:bCs/>
          <w:sz w:val="32"/>
          <w:szCs w:val="32"/>
        </w:rPr>
        <w:t>。</w:t>
      </w:r>
      <w:r>
        <w:rPr>
          <w:rFonts w:hint="eastAsia" w:ascii="仿宋_GB2312" w:hAnsi="黑体" w:eastAsia="仿宋_GB2312" w:cstheme="minorBidi"/>
          <w:sz w:val="32"/>
          <w:szCs w:val="32"/>
        </w:rPr>
        <w:t>发展质量和效益与国际先进城市相比还有差距，全球资源配置能力不够强，营商成本持续走高。基础研究、原始创新和关键核心技术“卡脖子”问题仍比较突出，关键零部件、重大装备受制于人，产业链供应链安全问题凸显。生态环境和民生领域存在短板，教育、医疗、住房未能有效满足人口快速增长需求。城市空间结构、生产方式、组织形态和运行机制发生深刻变革，面临城市治理承压明显、发展空间不足等诸多挑战，统筹发展与安全任务艰巨。</w:t>
      </w:r>
    </w:p>
    <w:p>
      <w:pPr>
        <w:spacing w:line="580" w:lineRule="exact"/>
        <w:ind w:firstLine="640" w:firstLineChars="200"/>
        <w:rPr>
          <w:rFonts w:ascii="仿宋_GB2312" w:hAnsi="黑体" w:eastAsia="仿宋_GB2312" w:cstheme="minorBidi"/>
          <w:sz w:val="32"/>
          <w:szCs w:val="32"/>
        </w:rPr>
      </w:pPr>
      <w:r>
        <w:rPr>
          <w:rFonts w:hint="eastAsia" w:ascii="仿宋_GB2312" w:hAnsi="黑体" w:eastAsia="仿宋_GB2312" w:cstheme="minorBidi"/>
          <w:sz w:val="32"/>
          <w:szCs w:val="32"/>
        </w:rPr>
        <w:t>面向未来，深圳必须胸怀“两个大局”，心怀“国之大者”，深刻认识我国社会主要矛盾变化带来的新特征新要求，深刻认识错综复杂的国际环境带来的新矛盾新挑战，深刻认识经济发展面临所有的“危”都源自发展质量不高、所有的“机”都要通过高质量发展才能抓住，保持战略定力，坚定必胜信念，努力在危机中育先机、于变局中开新局。</w:t>
      </w:r>
      <w:r>
        <w:rPr>
          <w:rFonts w:hint="eastAsia" w:ascii="仿宋_GB2312" w:hAnsi="黑体" w:eastAsia="仿宋_GB2312" w:cstheme="minorBidi"/>
          <w:sz w:val="32"/>
          <w:szCs w:val="32"/>
        </w:rPr>
        <w:br w:type="page"/>
      </w:r>
    </w:p>
    <w:p>
      <w:pPr>
        <w:spacing w:line="600" w:lineRule="exact"/>
        <w:jc w:val="center"/>
        <w:outlineLvl w:val="1"/>
        <w:rPr>
          <w:rFonts w:ascii="黑体" w:hAnsi="黑体" w:eastAsia="黑体" w:cs="黑体"/>
          <w:sz w:val="36"/>
          <w:szCs w:val="36"/>
        </w:rPr>
      </w:pPr>
      <w:bookmarkStart w:id="498" w:name="_Toc25338"/>
      <w:bookmarkStart w:id="499" w:name="_Toc26107"/>
      <w:bookmarkStart w:id="500" w:name="_Toc13867"/>
      <w:bookmarkStart w:id="501" w:name="_Toc28545"/>
      <w:bookmarkStart w:id="502" w:name="_Toc25211"/>
      <w:bookmarkStart w:id="503" w:name="_Toc29060"/>
      <w:bookmarkStart w:id="504" w:name="_Toc13573"/>
      <w:bookmarkStart w:id="505" w:name="_Toc16758"/>
      <w:bookmarkStart w:id="506" w:name="_Toc21557"/>
      <w:bookmarkStart w:id="507" w:name="_Toc8281"/>
      <w:bookmarkStart w:id="508" w:name="_Toc26219"/>
      <w:bookmarkStart w:id="509" w:name="_Toc14000"/>
      <w:bookmarkStart w:id="510" w:name="_Toc27035"/>
      <w:bookmarkStart w:id="511" w:name="_Toc2749"/>
      <w:bookmarkStart w:id="512" w:name="_Toc12768"/>
      <w:bookmarkStart w:id="513" w:name="_Toc11133"/>
      <w:bookmarkStart w:id="514" w:name="_Toc30838"/>
      <w:bookmarkStart w:id="515" w:name="_Toc6639"/>
      <w:bookmarkStart w:id="516" w:name="_Toc24246"/>
      <w:bookmarkStart w:id="517" w:name="_Toc31708"/>
      <w:bookmarkStart w:id="518" w:name="_Toc24477"/>
      <w:bookmarkStart w:id="519" w:name="_Toc31398"/>
      <w:bookmarkStart w:id="520" w:name="_Toc7755"/>
      <w:bookmarkStart w:id="521" w:name="_Toc8375"/>
      <w:bookmarkStart w:id="522" w:name="_Toc4513"/>
      <w:bookmarkStart w:id="523" w:name="_Toc6072"/>
      <w:bookmarkStart w:id="524" w:name="_Toc2121"/>
      <w:bookmarkStart w:id="525" w:name="_Toc20499"/>
      <w:bookmarkStart w:id="526" w:name="_Toc7615"/>
      <w:bookmarkStart w:id="527" w:name="_Toc7304"/>
      <w:bookmarkStart w:id="528" w:name="_Toc27581"/>
      <w:bookmarkStart w:id="529" w:name="_Toc5126"/>
      <w:bookmarkStart w:id="530" w:name="_Toc30098"/>
      <w:bookmarkStart w:id="531" w:name="_Toc17220"/>
      <w:bookmarkStart w:id="532" w:name="_Toc16187"/>
      <w:bookmarkStart w:id="533" w:name="_Toc682"/>
      <w:bookmarkStart w:id="534" w:name="_Toc15336"/>
      <w:bookmarkStart w:id="535" w:name="_Toc24763"/>
      <w:bookmarkStart w:id="536" w:name="_Toc7811"/>
      <w:bookmarkStart w:id="537" w:name="_Toc31827"/>
      <w:bookmarkStart w:id="538" w:name="_Toc13178"/>
      <w:bookmarkStart w:id="539" w:name="_Toc3933"/>
      <w:bookmarkStart w:id="540" w:name="_Toc28949"/>
      <w:bookmarkStart w:id="541" w:name="_Toc2999"/>
      <w:bookmarkStart w:id="542" w:name="_Toc31761"/>
      <w:bookmarkStart w:id="543" w:name="_Toc10876"/>
      <w:bookmarkStart w:id="544" w:name="_Toc16927"/>
      <w:bookmarkStart w:id="545" w:name="_Toc12359"/>
      <w:bookmarkStart w:id="546" w:name="_Toc26340"/>
      <w:bookmarkStart w:id="547" w:name="_Toc12817"/>
      <w:bookmarkStart w:id="548" w:name="_Toc20577"/>
      <w:bookmarkStart w:id="549" w:name="_Toc10717"/>
      <w:bookmarkStart w:id="550" w:name="_Toc28872"/>
      <w:bookmarkStart w:id="551" w:name="_Toc3046"/>
      <w:bookmarkStart w:id="552" w:name="_Toc22463"/>
      <w:bookmarkStart w:id="553" w:name="_Toc25825"/>
      <w:bookmarkStart w:id="554" w:name="_Toc10306"/>
      <w:bookmarkStart w:id="555" w:name="_Toc20736"/>
      <w:bookmarkStart w:id="556" w:name="_Toc10504"/>
      <w:bookmarkStart w:id="557" w:name="_Toc23396"/>
      <w:bookmarkStart w:id="558" w:name="_Toc32709"/>
      <w:bookmarkStart w:id="559" w:name="_Toc27572"/>
      <w:bookmarkStart w:id="560" w:name="_Toc5863"/>
      <w:bookmarkStart w:id="561" w:name="_Toc9263"/>
      <w:bookmarkStart w:id="562" w:name="_Toc22844"/>
      <w:bookmarkStart w:id="563" w:name="_Toc6519"/>
      <w:bookmarkStart w:id="564" w:name="_Toc15481"/>
      <w:bookmarkStart w:id="565" w:name="_Toc16129"/>
      <w:bookmarkStart w:id="566" w:name="_Toc32176"/>
      <w:bookmarkStart w:id="567" w:name="_Toc23990"/>
      <w:bookmarkStart w:id="568" w:name="_Toc17003"/>
      <w:bookmarkStart w:id="569" w:name="_Toc1146"/>
      <w:bookmarkStart w:id="570" w:name="_Toc621"/>
      <w:r>
        <w:rPr>
          <w:rFonts w:hint="eastAsia" w:ascii="黑体" w:hAnsi="黑体" w:eastAsia="黑体" w:cs="黑体"/>
          <w:sz w:val="36"/>
          <w:szCs w:val="36"/>
        </w:rPr>
        <w:t>第二章 指导方针</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pPr>
        <w:pStyle w:val="14"/>
        <w:spacing w:line="600" w:lineRule="exact"/>
      </w:pPr>
    </w:p>
    <w:p>
      <w:pPr>
        <w:overflowPunct w:val="0"/>
        <w:snapToGrid w:val="0"/>
        <w:spacing w:line="600" w:lineRule="exact"/>
        <w:ind w:firstLine="640" w:firstLineChars="200"/>
        <w:rPr>
          <w:rFonts w:ascii="仿宋_GB2312" w:eastAsia="仿宋_GB2312"/>
          <w:sz w:val="32"/>
          <w:szCs w:val="32"/>
        </w:rPr>
      </w:pPr>
      <w:r>
        <w:rPr>
          <w:rFonts w:hint="eastAsia" w:ascii="仿宋_GB2312" w:hAnsi="黑体" w:eastAsia="仿宋_GB2312" w:cstheme="minorBidi"/>
          <w:sz w:val="32"/>
          <w:szCs w:val="32"/>
        </w:rPr>
        <w:t>进入新发展阶段，深圳</w:t>
      </w:r>
      <w:r>
        <w:rPr>
          <w:rFonts w:hint="eastAsia" w:ascii="仿宋_GB2312" w:eastAsia="仿宋_GB2312"/>
          <w:sz w:val="32"/>
          <w:szCs w:val="32"/>
        </w:rPr>
        <w:t>在党中央、国务院和省委省政府的坚强领导下，乘势而上、起而行之、感恩奋进，永葆“闯”的精神、“创”的劲头、“干”的作风，以一往无前的奋斗姿态、风雨无阻的精神状态，建设好中国特色社会主义先行示范区，创建社会主义现代化强国的城市范例，率先实现社会主义现代化，努力续写更多“春天的故事”，努力创造让世界刮目相看的新的更大奇迹。</w:t>
      </w:r>
    </w:p>
    <w:p>
      <w:pPr>
        <w:overflowPunct w:val="0"/>
        <w:snapToGrid w:val="0"/>
        <w:spacing w:line="600" w:lineRule="exact"/>
        <w:ind w:firstLine="640" w:firstLineChars="200"/>
        <w:rPr>
          <w:rFonts w:ascii="仿宋_GB2312" w:hAnsi="黑体" w:eastAsia="仿宋_GB2312" w:cstheme="minorBidi"/>
          <w:sz w:val="32"/>
          <w:szCs w:val="32"/>
        </w:rPr>
      </w:pPr>
    </w:p>
    <w:p>
      <w:pPr>
        <w:spacing w:line="600" w:lineRule="exact"/>
        <w:jc w:val="center"/>
        <w:outlineLvl w:val="2"/>
        <w:rPr>
          <w:rFonts w:ascii="楷体" w:hAnsi="楷体" w:eastAsia="楷体" w:cs="楷体"/>
          <w:b/>
          <w:bCs/>
          <w:sz w:val="32"/>
          <w:szCs w:val="32"/>
        </w:rPr>
      </w:pPr>
      <w:bookmarkStart w:id="571" w:name="_Toc6104"/>
      <w:bookmarkStart w:id="572" w:name="_Toc11981"/>
      <w:bookmarkStart w:id="573" w:name="_Toc11394"/>
      <w:bookmarkStart w:id="574" w:name="_Toc32394"/>
      <w:bookmarkStart w:id="575" w:name="_Toc21231"/>
      <w:bookmarkStart w:id="576" w:name="_Toc24798"/>
      <w:bookmarkStart w:id="577" w:name="_Toc22111"/>
      <w:bookmarkStart w:id="578" w:name="_Toc7579"/>
      <w:bookmarkStart w:id="579" w:name="_Toc28492"/>
      <w:bookmarkStart w:id="580" w:name="_Toc7995"/>
      <w:bookmarkStart w:id="581" w:name="_Toc30618"/>
      <w:bookmarkStart w:id="582" w:name="_Toc22722"/>
      <w:bookmarkStart w:id="583" w:name="_Toc11531"/>
      <w:bookmarkStart w:id="584" w:name="_Toc32052"/>
      <w:bookmarkStart w:id="585" w:name="_Toc14357"/>
      <w:bookmarkStart w:id="586" w:name="_Toc9497"/>
      <w:bookmarkStart w:id="587" w:name="_Toc20618"/>
      <w:bookmarkStart w:id="588" w:name="_Toc10542"/>
      <w:bookmarkStart w:id="589" w:name="_Toc4924"/>
      <w:bookmarkStart w:id="590" w:name="_Toc30827"/>
      <w:bookmarkStart w:id="591" w:name="_Toc27868"/>
      <w:bookmarkStart w:id="592" w:name="_Toc31000"/>
      <w:bookmarkStart w:id="593" w:name="_Toc17110"/>
      <w:bookmarkStart w:id="594" w:name="_Toc5957"/>
      <w:bookmarkStart w:id="595" w:name="_Toc10221"/>
      <w:bookmarkStart w:id="596" w:name="_Toc25074"/>
      <w:bookmarkStart w:id="597" w:name="_Toc12807"/>
      <w:bookmarkStart w:id="598" w:name="_Toc12274"/>
      <w:bookmarkStart w:id="599" w:name="_Toc22158"/>
      <w:bookmarkStart w:id="600" w:name="_Toc12075"/>
      <w:bookmarkStart w:id="601" w:name="_Toc17026"/>
      <w:bookmarkStart w:id="602" w:name="_Toc29966"/>
      <w:bookmarkStart w:id="603" w:name="_Toc10355"/>
      <w:bookmarkStart w:id="604" w:name="_Toc8750"/>
      <w:bookmarkStart w:id="605" w:name="_Toc20295"/>
      <w:bookmarkStart w:id="606" w:name="_Toc9652"/>
      <w:bookmarkStart w:id="607" w:name="_Toc22361"/>
      <w:bookmarkStart w:id="608" w:name="_Toc29616"/>
      <w:bookmarkStart w:id="609" w:name="_Toc2870"/>
      <w:bookmarkStart w:id="610" w:name="_Toc1144"/>
      <w:bookmarkStart w:id="611" w:name="_Toc11484"/>
      <w:bookmarkStart w:id="612" w:name="_Toc12693"/>
      <w:bookmarkStart w:id="613" w:name="_Toc17684"/>
      <w:bookmarkStart w:id="614" w:name="_Toc18450"/>
      <w:bookmarkStart w:id="615" w:name="_Toc12223"/>
      <w:bookmarkStart w:id="616" w:name="_Toc23935"/>
      <w:bookmarkStart w:id="617" w:name="_Toc32260"/>
      <w:bookmarkStart w:id="618" w:name="_Toc6587"/>
      <w:bookmarkStart w:id="619" w:name="_Toc9631"/>
      <w:bookmarkStart w:id="620" w:name="_Toc17886"/>
      <w:bookmarkStart w:id="621" w:name="_Toc12752"/>
      <w:bookmarkStart w:id="622" w:name="_Toc31495"/>
      <w:bookmarkStart w:id="623" w:name="_Toc26634"/>
      <w:bookmarkStart w:id="624" w:name="_Toc342"/>
      <w:bookmarkStart w:id="625" w:name="_Toc24684"/>
      <w:bookmarkStart w:id="626" w:name="_Toc6994"/>
      <w:bookmarkStart w:id="627" w:name="_Toc13472"/>
      <w:bookmarkStart w:id="628" w:name="_Toc9448"/>
      <w:bookmarkStart w:id="629" w:name="_Toc1245"/>
      <w:bookmarkStart w:id="630" w:name="_Toc28243"/>
      <w:bookmarkStart w:id="631" w:name="_Toc8092"/>
      <w:bookmarkStart w:id="632" w:name="_Toc5790"/>
      <w:bookmarkStart w:id="633" w:name="_Toc10039"/>
      <w:bookmarkStart w:id="634" w:name="_Toc13572"/>
      <w:bookmarkStart w:id="635" w:name="_Toc17723"/>
      <w:bookmarkStart w:id="636" w:name="_Toc19172"/>
      <w:bookmarkStart w:id="637" w:name="_Toc17619"/>
      <w:bookmarkStart w:id="638" w:name="_Toc15440"/>
      <w:bookmarkStart w:id="639" w:name="_Toc10366"/>
      <w:bookmarkStart w:id="640" w:name="_Toc31112"/>
      <w:bookmarkStart w:id="641" w:name="_Toc443"/>
      <w:bookmarkStart w:id="642" w:name="_Toc15248"/>
      <w:bookmarkStart w:id="643" w:name="_Toc19773"/>
      <w:r>
        <w:rPr>
          <w:rFonts w:hint="eastAsia" w:ascii="楷体" w:hAnsi="楷体" w:eastAsia="楷体" w:cs="楷体"/>
          <w:b/>
          <w:bCs/>
          <w:sz w:val="32"/>
          <w:szCs w:val="32"/>
        </w:rPr>
        <w:t>第一节 指导思想</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pPr>
        <w:overflowPunct w:val="0"/>
        <w:adjustRightInd w:val="0"/>
        <w:snapToGrid w:val="0"/>
        <w:spacing w:line="600" w:lineRule="exact"/>
        <w:ind w:firstLine="640" w:firstLineChars="200"/>
        <w:rPr>
          <w:rFonts w:ascii="仿宋_GB2312" w:hAnsi="黑体" w:eastAsia="仿宋_GB2312" w:cstheme="minorBidi"/>
          <w:sz w:val="32"/>
          <w:szCs w:val="32"/>
        </w:rPr>
      </w:pPr>
      <w:r>
        <w:rPr>
          <w:rFonts w:hint="eastAsia" w:ascii="仿宋_GB2312" w:hAnsi="黑体" w:eastAsia="仿宋_GB2312" w:cstheme="minorBidi"/>
          <w:sz w:val="32"/>
          <w:szCs w:val="32"/>
        </w:rPr>
        <w:t>高举中国特色社会主义伟大旗帜，深入贯彻党的十九大和十九届二中、三中、四中、五中全会精神、中央经济工作会议精神，坚持以马克思列宁主义、毛泽东思想、邓小平理论、“三个代表”重要思想、科学发展观、习近平新时代中国特色社会主义思想为指导，全面贯彻党的基本理论、基本路线、基本方略，深入学习贯彻习近平总书记出席深圳经济特区建立40周年庆祝大会和对广东、深圳系列重要讲话、重要指示批示精神，统筹推进“五位一体”总体布局，协调推进“四个全面”战略布局，准确把握新发展阶段，坚决贯彻新发展理念，服务构建新发展格局，坚持稳中求进工作总基调，以推动高质量发展为主题，以深化供给侧结构性改革为主线，以改革创新为根本动力，以满足人民日益增长的美好生活需要为根本目的，认真落实省委“1＋1＋9”工作部署，与时俱进优化完善市委“1＋10＋10”工作安排，抢抓建设粤港澳大湾区、深圳先行示范区和实施综合改革试点重大历史机遇，统筹发展和安全，建设好中国特色社会主义先行示范区，创建社会主义现代化强国的城市范例，率先实现社会主义现代化，为广东在全面建设社会主义现代化国家新征程中走在全国前列、创造新的辉煌提供有力支撑，为我国全面建设社会主义现代化国家、实现中华民族伟大复兴的中国梦作出新的更大贡献。</w:t>
      </w:r>
    </w:p>
    <w:p>
      <w:pPr>
        <w:pStyle w:val="36"/>
        <w:overflowPunct w:val="0"/>
        <w:adjustRightInd w:val="0"/>
        <w:snapToGrid w:val="0"/>
        <w:spacing w:line="600" w:lineRule="exact"/>
        <w:ind w:firstLine="640"/>
        <w:rPr>
          <w:rStyle w:val="37"/>
          <w:rFonts w:ascii="仿宋_GB2312" w:hAnsi="仿宋_GB2312" w:eastAsia="仿宋_GB2312" w:cs="仿宋_GB2312"/>
          <w:szCs w:val="32"/>
        </w:rPr>
      </w:pPr>
    </w:p>
    <w:p>
      <w:pPr>
        <w:widowControl/>
        <w:numPr>
          <w:ilvl w:val="255"/>
          <w:numId w:val="0"/>
        </w:numPr>
        <w:spacing w:line="600" w:lineRule="exact"/>
        <w:jc w:val="center"/>
        <w:outlineLvl w:val="2"/>
        <w:rPr>
          <w:rFonts w:ascii="楷体" w:hAnsi="楷体" w:eastAsia="楷体" w:cs="楷体"/>
          <w:b/>
          <w:bCs/>
          <w:sz w:val="32"/>
          <w:szCs w:val="32"/>
        </w:rPr>
      </w:pPr>
      <w:bookmarkStart w:id="644" w:name="_Toc29919"/>
      <w:bookmarkStart w:id="645" w:name="_Toc16609"/>
      <w:bookmarkStart w:id="646" w:name="_Toc21098"/>
      <w:bookmarkStart w:id="647" w:name="_Toc23770"/>
      <w:bookmarkStart w:id="648" w:name="_Toc9973"/>
      <w:bookmarkStart w:id="649" w:name="_Toc20231"/>
      <w:bookmarkStart w:id="650" w:name="_Toc7796"/>
      <w:bookmarkStart w:id="651" w:name="_Toc25180"/>
      <w:bookmarkStart w:id="652" w:name="_Toc13858"/>
      <w:bookmarkStart w:id="653" w:name="_Toc14760"/>
      <w:bookmarkStart w:id="654" w:name="_Toc13776"/>
      <w:bookmarkStart w:id="655" w:name="_Toc12373"/>
      <w:bookmarkStart w:id="656" w:name="_Toc10815"/>
      <w:bookmarkStart w:id="657" w:name="_Toc25447"/>
      <w:bookmarkStart w:id="658" w:name="_Toc28565"/>
      <w:bookmarkStart w:id="659" w:name="_Toc11546"/>
      <w:bookmarkStart w:id="660" w:name="_Toc22128"/>
      <w:bookmarkStart w:id="661" w:name="_Toc8058"/>
      <w:bookmarkStart w:id="662" w:name="_Toc1790"/>
      <w:bookmarkStart w:id="663" w:name="_Toc4206"/>
      <w:bookmarkStart w:id="664" w:name="_Toc7251"/>
      <w:bookmarkStart w:id="665" w:name="_Toc418"/>
      <w:bookmarkStart w:id="666" w:name="_Toc17890"/>
      <w:bookmarkStart w:id="667" w:name="_Toc6060"/>
      <w:bookmarkStart w:id="668" w:name="_Toc5806"/>
      <w:bookmarkStart w:id="669" w:name="_Toc10017"/>
      <w:bookmarkStart w:id="670" w:name="_Toc5270"/>
      <w:bookmarkStart w:id="671" w:name="_Toc13440"/>
      <w:bookmarkStart w:id="672" w:name="_Toc30909"/>
      <w:bookmarkStart w:id="673" w:name="_Toc26975"/>
      <w:bookmarkStart w:id="674" w:name="_Toc10022"/>
      <w:bookmarkStart w:id="675" w:name="_Toc2033"/>
      <w:bookmarkStart w:id="676" w:name="_Toc24189"/>
      <w:bookmarkStart w:id="677" w:name="_Toc6088"/>
      <w:bookmarkStart w:id="678" w:name="_Toc6899"/>
      <w:bookmarkStart w:id="679" w:name="_Toc5437"/>
      <w:bookmarkStart w:id="680" w:name="_Toc22321"/>
      <w:bookmarkStart w:id="681" w:name="_Toc10534"/>
      <w:bookmarkStart w:id="682" w:name="_Toc6774"/>
      <w:bookmarkStart w:id="683" w:name="_Toc24066"/>
      <w:bookmarkStart w:id="684" w:name="_Toc28738"/>
      <w:bookmarkStart w:id="685" w:name="_Toc1058"/>
      <w:bookmarkStart w:id="686" w:name="_Toc15455"/>
      <w:bookmarkStart w:id="687" w:name="_Toc32596"/>
      <w:bookmarkStart w:id="688" w:name="_Toc8230"/>
      <w:bookmarkStart w:id="689" w:name="_Toc16683"/>
      <w:bookmarkStart w:id="690" w:name="_Toc14468"/>
      <w:bookmarkStart w:id="691" w:name="_Toc32043"/>
      <w:bookmarkStart w:id="692" w:name="_Toc32467"/>
      <w:bookmarkStart w:id="693" w:name="_Toc6142"/>
      <w:bookmarkStart w:id="694" w:name="_Toc27430"/>
      <w:bookmarkStart w:id="695" w:name="_Toc9200"/>
      <w:bookmarkStart w:id="696" w:name="_Toc10545"/>
      <w:bookmarkStart w:id="697" w:name="_Toc18768"/>
      <w:bookmarkStart w:id="698" w:name="_Toc27251"/>
      <w:bookmarkStart w:id="699" w:name="_Toc22424"/>
      <w:bookmarkStart w:id="700" w:name="_Toc19358"/>
      <w:bookmarkStart w:id="701" w:name="_Toc19311"/>
      <w:bookmarkStart w:id="702" w:name="_Toc4230"/>
      <w:bookmarkStart w:id="703" w:name="_Toc731"/>
      <w:bookmarkStart w:id="704" w:name="_Toc15012"/>
      <w:bookmarkStart w:id="705" w:name="_Toc21430"/>
      <w:bookmarkStart w:id="706" w:name="_Toc15559"/>
      <w:r>
        <w:rPr>
          <w:rFonts w:hint="eastAsia" w:ascii="楷体" w:hAnsi="楷体" w:eastAsia="楷体" w:cs="楷体"/>
          <w:b/>
          <w:bCs/>
          <w:sz w:val="32"/>
          <w:szCs w:val="32"/>
        </w:rPr>
        <w:t>第二节 基本要求</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p>
    <w:p>
      <w:pPr>
        <w:pStyle w:val="36"/>
        <w:overflowPunct w:val="0"/>
        <w:adjustRightInd w:val="0"/>
        <w:snapToGrid w:val="0"/>
        <w:spacing w:line="600" w:lineRule="exact"/>
        <w:ind w:firstLine="64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推动“十四五”时期经济社会发展，必须坚持党的全面领导，坚持以人民为中心，坚持创新、协调、绿色、开放、共享的新发展理念，坚持深化改革开放，坚持系统观念，准确把握习近平总书记深刻总结的经济特区建设规律，全面落实好以下基本要求。</w:t>
      </w:r>
    </w:p>
    <w:p>
      <w:pPr>
        <w:pStyle w:val="36"/>
        <w:overflowPunct w:val="0"/>
        <w:adjustRightInd w:val="0"/>
        <w:snapToGrid w:val="0"/>
        <w:spacing w:line="600" w:lineRule="exact"/>
        <w:ind w:firstLine="64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——在加强党的全面领导和党的建设上走在前列、勇当尖兵。</w:t>
      </w:r>
      <w:r>
        <w:rPr>
          <w:rFonts w:hint="eastAsia" w:ascii="仿宋_GB2312" w:hAnsi="仿宋_GB2312" w:eastAsia="仿宋_GB2312" w:cs="仿宋_GB2312"/>
          <w:sz w:val="32"/>
          <w:szCs w:val="32"/>
          <w:shd w:val="clear" w:color="auto" w:fill="FFFFFF"/>
        </w:rPr>
        <w:t>深入贯彻新时代党的建设总要求，始终保持经济特区建设正确方向，激发党员干部干事创业的热情和劲头，营造风清气正的良好政治生态。</w:t>
      </w:r>
    </w:p>
    <w:p>
      <w:pPr>
        <w:pStyle w:val="36"/>
        <w:overflowPunct w:val="0"/>
        <w:adjustRightInd w:val="0"/>
        <w:snapToGrid w:val="0"/>
        <w:spacing w:line="600" w:lineRule="exact"/>
        <w:ind w:firstLine="64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——在推动高质量发展、构建新发展格局上走在前列、勇当尖兵。</w:t>
      </w:r>
      <w:r>
        <w:rPr>
          <w:rFonts w:hint="eastAsia" w:ascii="仿宋_GB2312" w:hAnsi="仿宋_GB2312" w:eastAsia="仿宋_GB2312" w:cs="仿宋_GB2312"/>
          <w:sz w:val="32"/>
          <w:szCs w:val="32"/>
          <w:shd w:val="clear" w:color="auto" w:fill="FFFFFF"/>
        </w:rPr>
        <w:t>以推动高质量发展为主题，锚定高效益、高效率、高品质，奋力跑出现代化建设的“加速度”，坚持扩大内需的战略基点，增强服务国内大循环、联通国内国际双循环功能，成为构建新发展格局的先行示范者。</w:t>
      </w:r>
    </w:p>
    <w:p>
      <w:pPr>
        <w:pStyle w:val="36"/>
        <w:overflowPunct w:val="0"/>
        <w:adjustRightInd w:val="0"/>
        <w:snapToGrid w:val="0"/>
        <w:spacing w:line="600" w:lineRule="exact"/>
        <w:ind w:firstLine="64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——在服务全国全省大局上走在前列、勇当尖兵。</w:t>
      </w:r>
      <w:r>
        <w:rPr>
          <w:rFonts w:hint="eastAsia" w:ascii="仿宋_GB2312" w:hAnsi="仿宋_GB2312" w:eastAsia="仿宋_GB2312" w:cs="仿宋_GB2312"/>
          <w:sz w:val="32"/>
          <w:szCs w:val="32"/>
          <w:shd w:val="clear" w:color="auto" w:fill="FFFFFF"/>
        </w:rPr>
        <w:t>全面落实国家重大发展战略，充分发挥粤港澳大湾区中心城市功能，着力增强“一核一带一区”主引擎作用，以先行示范区的担当作为更好服务全国全省发展。</w:t>
      </w:r>
    </w:p>
    <w:p>
      <w:pPr>
        <w:pStyle w:val="36"/>
        <w:overflowPunct w:val="0"/>
        <w:adjustRightInd w:val="0"/>
        <w:snapToGrid w:val="0"/>
        <w:spacing w:line="600" w:lineRule="exact"/>
        <w:ind w:firstLine="64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——在实施创新驱动发展战略上走在前列、勇当尖兵。</w:t>
      </w:r>
      <w:r>
        <w:rPr>
          <w:rFonts w:hint="eastAsia" w:ascii="仿宋_GB2312" w:hAnsi="仿宋_GB2312" w:eastAsia="仿宋_GB2312" w:cs="仿宋_GB2312"/>
          <w:sz w:val="32"/>
          <w:szCs w:val="32"/>
          <w:shd w:val="clear" w:color="auto" w:fill="FFFFFF"/>
        </w:rPr>
        <w:t>强化创新在现代化建设中的核心地位，强化科技自立自强对发展的战略支撑作用，强化企业创新主体地位，强化人才第一资源，为建设科技强国贡献“深圳力量”。</w:t>
      </w:r>
    </w:p>
    <w:p>
      <w:pPr>
        <w:pStyle w:val="36"/>
        <w:overflowPunct w:val="0"/>
        <w:adjustRightInd w:val="0"/>
        <w:snapToGrid w:val="0"/>
        <w:spacing w:line="600" w:lineRule="exact"/>
        <w:ind w:firstLine="64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——在全面深化改革、全面扩大开放上走在前列、勇当尖兵。</w:t>
      </w:r>
      <w:r>
        <w:rPr>
          <w:rFonts w:hint="eastAsia" w:ascii="仿宋_GB2312" w:hAnsi="仿宋_GB2312" w:eastAsia="仿宋_GB2312" w:cs="仿宋_GB2312"/>
          <w:sz w:val="32"/>
          <w:szCs w:val="32"/>
          <w:shd w:val="clear" w:color="auto" w:fill="FFFFFF"/>
        </w:rPr>
        <w:t>以更大的政治勇气和政治智慧，与时俱进全面深化改革，提高改革综合效能，锐意开拓全面扩大开放，率先建设更高水平开放型经济新体制。</w:t>
      </w:r>
    </w:p>
    <w:p>
      <w:pPr>
        <w:pStyle w:val="36"/>
        <w:overflowPunct w:val="0"/>
        <w:adjustRightInd w:val="0"/>
        <w:snapToGrid w:val="0"/>
        <w:spacing w:line="600" w:lineRule="exact"/>
        <w:ind w:firstLine="64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——在推动城市治理体系和治理能力现代化上走在前列、勇当尖兵。</w:t>
      </w:r>
      <w:r>
        <w:rPr>
          <w:rFonts w:hint="eastAsia" w:ascii="仿宋_GB2312" w:hAnsi="仿宋_GB2312" w:eastAsia="仿宋_GB2312" w:cs="仿宋_GB2312"/>
          <w:sz w:val="32"/>
          <w:szCs w:val="32"/>
          <w:shd w:val="clear" w:color="auto" w:fill="FFFFFF"/>
        </w:rPr>
        <w:t>将全周期管理意识贯穿城市规划、建设、管理和生产、生活、生态全过程各方面，注重在科学化、精细化、智能化上下功夫，努力走出一条符合超大型城市特点和规律的治理新路子。</w:t>
      </w:r>
    </w:p>
    <w:p>
      <w:pPr>
        <w:pStyle w:val="36"/>
        <w:overflowPunct w:val="0"/>
        <w:adjustRightInd w:val="0"/>
        <w:snapToGrid w:val="0"/>
        <w:spacing w:line="600" w:lineRule="exact"/>
        <w:ind w:firstLine="64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——在社会主义法治建设上走在前列、勇当尖兵。</w:t>
      </w:r>
      <w:r>
        <w:rPr>
          <w:rFonts w:hint="eastAsia" w:ascii="仿宋_GB2312" w:hAnsi="仿宋_GB2312" w:eastAsia="仿宋_GB2312" w:cs="仿宋_GB2312"/>
          <w:sz w:val="32"/>
          <w:szCs w:val="32"/>
          <w:shd w:val="clear" w:color="auto" w:fill="FFFFFF"/>
        </w:rPr>
        <w:t>坚持科学立法、严格执法、公正司法、全民守法，加快法治城市、法治政府、法治社会建设，营造一流法治环境。</w:t>
      </w:r>
    </w:p>
    <w:p>
      <w:pPr>
        <w:pStyle w:val="36"/>
        <w:overflowPunct w:val="0"/>
        <w:adjustRightInd w:val="0"/>
        <w:snapToGrid w:val="0"/>
        <w:spacing w:line="600" w:lineRule="exact"/>
        <w:ind w:firstLine="64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——在践行社会主义核心价值体系上走在前列、勇当尖兵。</w:t>
      </w:r>
      <w:r>
        <w:rPr>
          <w:rFonts w:hint="eastAsia" w:ascii="仿宋_GB2312" w:hAnsi="仿宋_GB2312" w:eastAsia="仿宋_GB2312" w:cs="仿宋_GB2312"/>
          <w:sz w:val="32"/>
          <w:szCs w:val="32"/>
          <w:shd w:val="clear" w:color="auto" w:fill="FFFFFF"/>
        </w:rPr>
        <w:t>围绕新时代举旗帜、聚民心、育新人、兴文化、展形象的使命任务，在物质文明建设和精神文明建设上都交出优异答卷，更好满足群众精神文化生活新期待。</w:t>
      </w:r>
    </w:p>
    <w:p>
      <w:pPr>
        <w:pStyle w:val="36"/>
        <w:overflowPunct w:val="0"/>
        <w:adjustRightInd w:val="0"/>
        <w:snapToGrid w:val="0"/>
        <w:spacing w:line="600" w:lineRule="exact"/>
        <w:ind w:firstLine="64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——在践行以人民为中心的发展思想、促进共同富裕上走在前列、勇当尖兵。</w:t>
      </w:r>
      <w:r>
        <w:rPr>
          <w:rFonts w:hint="eastAsia" w:ascii="仿宋_GB2312" w:hAnsi="仿宋_GB2312" w:eastAsia="仿宋_GB2312" w:cs="仿宋_GB2312"/>
          <w:sz w:val="32"/>
          <w:szCs w:val="32"/>
          <w:shd w:val="clear" w:color="auto" w:fill="FFFFFF"/>
        </w:rPr>
        <w:t>坚持人民主体地位，维护人民根本利益，促进社会公平，增进民生福祉。</w:t>
      </w:r>
    </w:p>
    <w:p>
      <w:pPr>
        <w:pStyle w:val="36"/>
        <w:overflowPunct w:val="0"/>
        <w:adjustRightInd w:val="0"/>
        <w:snapToGrid w:val="0"/>
        <w:spacing w:line="600" w:lineRule="exact"/>
        <w:ind w:firstLine="64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——在促进人与自然和谐共生上走在前列、勇当尖兵。</w:t>
      </w:r>
      <w:r>
        <w:rPr>
          <w:rFonts w:hint="eastAsia" w:ascii="仿宋_GB2312" w:hAnsi="仿宋_GB2312" w:eastAsia="仿宋_GB2312" w:cs="仿宋_GB2312"/>
          <w:sz w:val="32"/>
          <w:szCs w:val="32"/>
          <w:shd w:val="clear" w:color="auto" w:fill="FFFFFF"/>
        </w:rPr>
        <w:t>牢固树立和践行绿水青山就是金山银山的理念，深入实施可持续发展战略，加快构建现代生态文明体系，实施具有深圳特色的乡村振兴战略，打造安全高效的生产空间、舒适宜居的生活空间、碧水蓝天的生态空间。</w:t>
      </w:r>
    </w:p>
    <w:p>
      <w:pPr>
        <w:pStyle w:val="36"/>
        <w:overflowPunct w:val="0"/>
        <w:adjustRightInd w:val="0"/>
        <w:snapToGrid w:val="0"/>
        <w:spacing w:line="600" w:lineRule="exact"/>
        <w:ind w:firstLine="640"/>
        <w:rPr>
          <w:rFonts w:ascii="仿宋_GB2312" w:hAnsi="仿宋_GB2312" w:eastAsia="仿宋_GB2312" w:cs="仿宋_GB2312"/>
          <w:sz w:val="32"/>
          <w:szCs w:val="32"/>
          <w:shd w:val="clear" w:color="auto" w:fill="FFFFFF"/>
        </w:rPr>
      </w:pPr>
    </w:p>
    <w:p>
      <w:pPr>
        <w:spacing w:line="600" w:lineRule="exact"/>
        <w:jc w:val="center"/>
        <w:outlineLvl w:val="2"/>
        <w:rPr>
          <w:rFonts w:ascii="楷体" w:hAnsi="楷体" w:eastAsia="楷体" w:cs="楷体"/>
          <w:b/>
          <w:bCs/>
          <w:sz w:val="32"/>
          <w:szCs w:val="32"/>
        </w:rPr>
      </w:pPr>
      <w:bookmarkStart w:id="707" w:name="_Toc24426"/>
      <w:bookmarkStart w:id="708" w:name="_Toc18970"/>
      <w:bookmarkStart w:id="709" w:name="_Toc3232"/>
      <w:bookmarkStart w:id="710" w:name="_Toc18290"/>
      <w:bookmarkStart w:id="711" w:name="_Toc31737"/>
      <w:bookmarkStart w:id="712" w:name="_Toc11562"/>
      <w:bookmarkStart w:id="713" w:name="_Toc6698"/>
      <w:bookmarkStart w:id="714" w:name="_Toc7779"/>
      <w:bookmarkStart w:id="715" w:name="_Toc21943"/>
      <w:bookmarkStart w:id="716" w:name="_Toc22649"/>
      <w:bookmarkStart w:id="717" w:name="_Toc30651"/>
      <w:bookmarkStart w:id="718" w:name="_Toc2579"/>
      <w:bookmarkStart w:id="719" w:name="_Toc4723"/>
      <w:bookmarkStart w:id="720" w:name="_Toc23167"/>
      <w:bookmarkStart w:id="721" w:name="_Toc21674"/>
      <w:bookmarkStart w:id="722" w:name="_Toc24457"/>
      <w:bookmarkStart w:id="723" w:name="_Toc3633"/>
      <w:bookmarkStart w:id="724" w:name="_Toc24606"/>
      <w:bookmarkStart w:id="725" w:name="_Toc14884"/>
      <w:bookmarkStart w:id="726" w:name="_Toc25832"/>
      <w:bookmarkStart w:id="727" w:name="_Toc8850"/>
      <w:bookmarkStart w:id="728" w:name="_Toc13840"/>
      <w:bookmarkStart w:id="729" w:name="_Toc14999"/>
      <w:bookmarkStart w:id="730" w:name="_Toc17958"/>
      <w:bookmarkStart w:id="731" w:name="_Toc16676"/>
      <w:bookmarkStart w:id="732" w:name="_Toc30760"/>
      <w:bookmarkStart w:id="733" w:name="_Toc13965"/>
      <w:bookmarkStart w:id="734" w:name="_Toc16600"/>
      <w:bookmarkStart w:id="735" w:name="_Toc19144"/>
      <w:bookmarkStart w:id="736" w:name="_Toc4097"/>
      <w:bookmarkStart w:id="737" w:name="_Toc2049"/>
      <w:bookmarkStart w:id="738" w:name="_Toc30189"/>
      <w:bookmarkStart w:id="739" w:name="_Toc11827"/>
      <w:bookmarkStart w:id="740" w:name="_Toc13878"/>
      <w:bookmarkStart w:id="741" w:name="_Toc27447"/>
      <w:bookmarkStart w:id="742" w:name="_Toc16264"/>
      <w:bookmarkStart w:id="743" w:name="_Toc10220"/>
      <w:bookmarkStart w:id="744" w:name="_Toc16942"/>
      <w:bookmarkStart w:id="745" w:name="_Toc11593"/>
      <w:bookmarkStart w:id="746" w:name="_Toc18021"/>
      <w:bookmarkStart w:id="747" w:name="_Toc8897"/>
      <w:bookmarkStart w:id="748" w:name="_Toc20087"/>
      <w:bookmarkStart w:id="749" w:name="_Toc10705"/>
      <w:bookmarkStart w:id="750" w:name="_Toc8803"/>
      <w:bookmarkStart w:id="751" w:name="_Toc7736"/>
      <w:bookmarkStart w:id="752" w:name="_Toc7862"/>
      <w:bookmarkStart w:id="753" w:name="_Toc26725"/>
      <w:bookmarkStart w:id="754" w:name="_Toc29707"/>
      <w:bookmarkStart w:id="755" w:name="_Toc5527"/>
      <w:bookmarkStart w:id="756" w:name="_Toc8535"/>
      <w:bookmarkStart w:id="757" w:name="_Toc9911"/>
      <w:bookmarkStart w:id="758" w:name="_Toc2070"/>
      <w:bookmarkStart w:id="759" w:name="_Toc14435"/>
      <w:bookmarkStart w:id="760" w:name="_Toc28495"/>
      <w:bookmarkStart w:id="761" w:name="_Toc28133"/>
      <w:bookmarkStart w:id="762" w:name="_Toc5547"/>
      <w:bookmarkStart w:id="763" w:name="_Toc27512"/>
      <w:bookmarkStart w:id="764" w:name="_Toc6339"/>
      <w:bookmarkStart w:id="765" w:name="_Toc26733"/>
      <w:bookmarkStart w:id="766" w:name="_Toc26625"/>
      <w:bookmarkStart w:id="767" w:name="_Toc26074"/>
      <w:bookmarkStart w:id="768" w:name="_Toc10096"/>
      <w:bookmarkStart w:id="769" w:name="_Toc27304"/>
      <w:bookmarkStart w:id="770" w:name="_Toc7647"/>
      <w:bookmarkStart w:id="771" w:name="_Toc28954"/>
      <w:bookmarkStart w:id="772" w:name="_Toc14118"/>
      <w:bookmarkStart w:id="773" w:name="_Toc16886"/>
      <w:bookmarkStart w:id="774" w:name="_Toc15766"/>
      <w:bookmarkStart w:id="775" w:name="_Toc4736"/>
      <w:bookmarkStart w:id="776" w:name="_Toc19376"/>
      <w:bookmarkStart w:id="777" w:name="_Toc5730"/>
      <w:bookmarkStart w:id="778" w:name="_Toc6829"/>
      <w:bookmarkStart w:id="779" w:name="_Toc1387"/>
      <w:r>
        <w:rPr>
          <w:rFonts w:hint="eastAsia" w:ascii="楷体" w:hAnsi="楷体" w:eastAsia="楷体" w:cs="楷体"/>
          <w:b/>
          <w:bCs/>
          <w:sz w:val="32"/>
          <w:szCs w:val="32"/>
        </w:rPr>
        <w:t>第三节 二〇三五年远景目标</w:t>
      </w:r>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p>
    <w:p>
      <w:pPr>
        <w:pStyle w:val="36"/>
        <w:overflowPunct w:val="0"/>
        <w:adjustRightInd w:val="0"/>
        <w:snapToGrid w:val="0"/>
        <w:spacing w:line="600" w:lineRule="exact"/>
        <w:ind w:firstLine="640" w:firstLineChars="200"/>
        <w:rPr>
          <w:rStyle w:val="37"/>
          <w:rFonts w:ascii="仿宋_GB2312" w:hAnsi="仿宋_GB2312" w:eastAsia="仿宋_GB2312" w:cs="仿宋_GB2312"/>
          <w:sz w:val="32"/>
          <w:szCs w:val="32"/>
        </w:rPr>
      </w:pPr>
      <w:r>
        <w:rPr>
          <w:rStyle w:val="37"/>
          <w:rFonts w:hint="eastAsia" w:ascii="仿宋_GB2312" w:hAnsi="仿宋_GB2312" w:eastAsia="仿宋_GB2312" w:cs="仿宋_GB2312"/>
          <w:sz w:val="32"/>
          <w:szCs w:val="32"/>
        </w:rPr>
        <w:t>习近平总书记寄望深圳在建设社会主义现代化国家新征程中作出新的更大贡献，赋予深圳新时代的历史使命，要求深圳建设好中国特色社会主义先行示范区，创建社会主义现代化强国的城市范例，提高贯彻落实新发展理念的能力和水平，形成全面深化改革、全面扩大开放新格局，推进粤港澳大湾区建设，丰富“一国两制”事业发展新实践，率先实现社会主义现代化。</w:t>
      </w:r>
    </w:p>
    <w:p>
      <w:pPr>
        <w:pStyle w:val="36"/>
        <w:overflowPunct w:val="0"/>
        <w:adjustRightInd w:val="0"/>
        <w:snapToGrid w:val="0"/>
        <w:spacing w:line="600" w:lineRule="exact"/>
        <w:ind w:firstLine="640" w:firstLineChars="200"/>
        <w:rPr>
          <w:rStyle w:val="37"/>
          <w:rFonts w:ascii="仿宋_GB2312" w:hAnsi="仿宋_GB2312" w:eastAsia="仿宋_GB2312" w:cs="仿宋_GB2312"/>
          <w:sz w:val="32"/>
          <w:szCs w:val="32"/>
        </w:rPr>
      </w:pPr>
      <w:r>
        <w:rPr>
          <w:rStyle w:val="37"/>
          <w:rFonts w:hint="eastAsia" w:ascii="仿宋_GB2312" w:hAnsi="仿宋_GB2312" w:eastAsia="仿宋_GB2312" w:cs="仿宋_GB2312"/>
          <w:bCs/>
          <w:sz w:val="32"/>
          <w:szCs w:val="32"/>
        </w:rPr>
        <w:t>到二〇二五年</w:t>
      </w:r>
      <w:r>
        <w:rPr>
          <w:rStyle w:val="37"/>
          <w:rFonts w:hint="eastAsia" w:ascii="仿宋_GB2312" w:hAnsi="仿宋_GB2312" w:eastAsia="仿宋_GB2312" w:cs="仿宋_GB2312"/>
          <w:sz w:val="32"/>
          <w:szCs w:val="32"/>
        </w:rPr>
        <w:t>，建成现代化国际化创新型城市，基本实现社会主义现代化。经济实力、发展质量跻身全球城市前列，研发投入强度、产业创新能力世界一流，文化软实力大幅提升，公共服务水平和生态环境质量达到国际先进水平。</w:t>
      </w:r>
    </w:p>
    <w:p>
      <w:pPr>
        <w:pStyle w:val="36"/>
        <w:overflowPunct w:val="0"/>
        <w:adjustRightInd w:val="0"/>
        <w:snapToGrid w:val="0"/>
        <w:spacing w:line="600" w:lineRule="exact"/>
        <w:ind w:firstLine="640" w:firstLineChars="200"/>
        <w:rPr>
          <w:rStyle w:val="37"/>
          <w:rFonts w:ascii="仿宋_GB2312" w:hAnsi="仿宋_GB2312" w:eastAsia="仿宋_GB2312" w:cs="仿宋_GB2312"/>
          <w:sz w:val="32"/>
          <w:szCs w:val="32"/>
        </w:rPr>
      </w:pPr>
      <w:r>
        <w:rPr>
          <w:rStyle w:val="37"/>
          <w:rFonts w:hint="eastAsia" w:ascii="仿宋_GB2312" w:hAnsi="仿宋_GB2312" w:eastAsia="仿宋_GB2312" w:cs="仿宋_GB2312"/>
          <w:bCs/>
          <w:sz w:val="32"/>
          <w:szCs w:val="32"/>
        </w:rPr>
        <w:t>到二〇三〇年，</w:t>
      </w:r>
      <w:r>
        <w:rPr>
          <w:rStyle w:val="37"/>
          <w:rFonts w:hint="eastAsia" w:ascii="仿宋_GB2312" w:hAnsi="仿宋_GB2312" w:eastAsia="仿宋_GB2312" w:cs="仿宋_GB2312"/>
          <w:sz w:val="32"/>
          <w:szCs w:val="32"/>
        </w:rPr>
        <w:t>建成引领可持续发展的全球创新城市，社会主义现代化建设跃上新台阶。经济总量和居民人均收入大幅跃升，建成现代化经济体系；基础研究和原始创新能力大幅提升，创新能级跃居世界城市前列；粤港澳大湾区核心引擎和资源配置功能显著增强，国际交流更加广泛，成为全球重要的创新中心、金融中心、商贸中心、文化中心，跻身全球先进城市行列；建成高水平公共服务体系，人民生活更加美好；实现碳排放达峰后稳中有降，社会文明达到新高度。</w:t>
      </w:r>
    </w:p>
    <w:p>
      <w:pPr>
        <w:pStyle w:val="36"/>
        <w:overflowPunct w:val="0"/>
        <w:adjustRightInd w:val="0"/>
        <w:snapToGrid w:val="0"/>
        <w:spacing w:line="600" w:lineRule="exact"/>
        <w:ind w:firstLine="640" w:firstLineChars="200"/>
        <w:rPr>
          <w:rStyle w:val="37"/>
          <w:rFonts w:ascii="仿宋_GB2312" w:hAnsi="仿宋_GB2312" w:eastAsia="仿宋_GB2312" w:cs="仿宋_GB2312"/>
          <w:sz w:val="32"/>
          <w:szCs w:val="32"/>
        </w:rPr>
      </w:pPr>
      <w:r>
        <w:rPr>
          <w:rStyle w:val="37"/>
          <w:rFonts w:hint="eastAsia" w:ascii="仿宋_GB2312" w:hAnsi="仿宋_GB2312" w:eastAsia="仿宋_GB2312" w:cs="仿宋_GB2312"/>
          <w:bCs/>
          <w:sz w:val="32"/>
          <w:szCs w:val="32"/>
        </w:rPr>
        <w:t>到二〇三五年，</w:t>
      </w:r>
      <w:r>
        <w:rPr>
          <w:rStyle w:val="37"/>
          <w:rFonts w:hint="eastAsia" w:ascii="仿宋_GB2312" w:hAnsi="仿宋_GB2312" w:eastAsia="仿宋_GB2312" w:cs="仿宋_GB2312"/>
          <w:sz w:val="32"/>
          <w:szCs w:val="32"/>
        </w:rPr>
        <w:t>建成具有全球影响力的创新创业创意之都，成为我国建设社会主义现代化强国的城市范例，率先实现社会主义现代化。成为高质量发展高地，城市综合经济竞争力世界领先，经济总量、人均地区生产总值在二〇二〇年基础上翻一番；成为法治城市示范，建成一流法治政府、模范法治社会，营商环境位居全球前列，城市治理体系系统完备、科学规范、运行高效；成为城市文明典范，开放多元、兼容并蓄的城市文化特征更加鲜明，城市品位、人文魅力充分彰显，时尚创意引领全球；成为民生幸福标杆，实现幼有善育、学有优教、劳有厚得、病有良医、老有颐养、住有宜居、弱有众扶，市民享有更加幸福安康的生活；成为可持续发展先锋，打造人与自然和谐共生的美丽中国典范。</w:t>
      </w:r>
    </w:p>
    <w:p>
      <w:pPr>
        <w:overflowPunct w:val="0"/>
        <w:spacing w:line="600" w:lineRule="exact"/>
        <w:ind w:firstLine="640" w:firstLineChars="200"/>
        <w:rPr>
          <w:rStyle w:val="37"/>
          <w:rFonts w:ascii="仿宋_GB2312" w:hAnsi="仿宋_GB2312" w:eastAsia="仿宋_GB2312" w:cs="仿宋_GB2312"/>
          <w:sz w:val="32"/>
          <w:szCs w:val="32"/>
        </w:rPr>
      </w:pPr>
      <w:r>
        <w:rPr>
          <w:rStyle w:val="37"/>
          <w:rFonts w:hint="eastAsia" w:ascii="仿宋_GB2312" w:hAnsi="仿宋_GB2312" w:eastAsia="仿宋_GB2312" w:cs="仿宋_GB2312"/>
          <w:sz w:val="32"/>
          <w:szCs w:val="32"/>
        </w:rPr>
        <w:t>到本世纪中叶，以更加昂扬的姿态屹立于世界先进城市之林，成为竞争力、创新力、影响力卓著的全球标杆城市。</w:t>
      </w:r>
      <w:r>
        <w:rPr>
          <w:rStyle w:val="37"/>
          <w:rFonts w:ascii="仿宋_GB2312" w:hAnsi="仿宋_GB2312" w:eastAsia="仿宋_GB2312" w:cs="仿宋_GB2312"/>
          <w:sz w:val="32"/>
          <w:szCs w:val="32"/>
        </w:rPr>
        <w:t>那时的深圳将是更让世界刮目相看的另一番新景象，拥有高度的物质文明、政治文明、精神文明、社会文明、生态文明；那时的深圳将充分彰显中国特色社会主义的制度优势，最能代表中国参与全球竞争合作，引领世界城市发展潮流；那时的深圳将成为全球城市版图中的璀璨明珠，习近平总书记寄望的盛景将在鹏城大地全面绽放。</w:t>
      </w:r>
    </w:p>
    <w:p>
      <w:pPr>
        <w:pStyle w:val="36"/>
        <w:overflowPunct w:val="0"/>
        <w:adjustRightInd w:val="0"/>
        <w:snapToGrid w:val="0"/>
        <w:spacing w:line="600" w:lineRule="exact"/>
        <w:ind w:firstLine="640" w:firstLineChars="200"/>
        <w:rPr>
          <w:rStyle w:val="37"/>
          <w:rFonts w:ascii="仿宋_GB2312" w:hAnsi="仿宋_GB2312" w:eastAsia="仿宋_GB2312" w:cs="仿宋_GB2312"/>
          <w:sz w:val="32"/>
          <w:szCs w:val="32"/>
        </w:rPr>
      </w:pPr>
    </w:p>
    <w:p>
      <w:pPr>
        <w:spacing w:line="600" w:lineRule="exact"/>
        <w:jc w:val="center"/>
        <w:outlineLvl w:val="2"/>
        <w:rPr>
          <w:rFonts w:ascii="楷体" w:hAnsi="楷体" w:eastAsia="楷体" w:cs="楷体"/>
          <w:b/>
          <w:bCs/>
          <w:sz w:val="32"/>
          <w:szCs w:val="32"/>
        </w:rPr>
      </w:pPr>
      <w:bookmarkStart w:id="780" w:name="_Toc26227"/>
      <w:bookmarkStart w:id="781" w:name="_Toc7795"/>
      <w:bookmarkStart w:id="782" w:name="_Toc8547"/>
      <w:bookmarkStart w:id="783" w:name="_Toc2277"/>
      <w:bookmarkStart w:id="784" w:name="_Toc16127"/>
      <w:bookmarkStart w:id="785" w:name="_Toc390"/>
      <w:bookmarkStart w:id="786" w:name="_Toc10044"/>
      <w:bookmarkStart w:id="787" w:name="_Toc12103"/>
      <w:bookmarkStart w:id="788" w:name="_Toc16212"/>
      <w:bookmarkStart w:id="789" w:name="_Toc31475"/>
      <w:bookmarkStart w:id="790" w:name="_Toc14836"/>
      <w:bookmarkStart w:id="791" w:name="_Toc29211"/>
      <w:bookmarkStart w:id="792" w:name="_Toc26180"/>
      <w:bookmarkStart w:id="793" w:name="_Toc29389"/>
      <w:bookmarkStart w:id="794" w:name="_Toc31548"/>
      <w:bookmarkStart w:id="795" w:name="_Toc21458"/>
      <w:bookmarkStart w:id="796" w:name="_Toc13"/>
      <w:bookmarkStart w:id="797" w:name="_Toc22315"/>
      <w:bookmarkStart w:id="798" w:name="_Toc4624"/>
      <w:bookmarkStart w:id="799" w:name="_Toc6153"/>
      <w:bookmarkStart w:id="800" w:name="_Toc2791"/>
      <w:bookmarkStart w:id="801" w:name="_Toc17839"/>
      <w:bookmarkStart w:id="802" w:name="_Toc10158"/>
      <w:bookmarkStart w:id="803" w:name="_Toc21899"/>
      <w:bookmarkStart w:id="804" w:name="_Toc21229"/>
      <w:bookmarkStart w:id="805" w:name="_Toc30583"/>
      <w:bookmarkStart w:id="806" w:name="_Toc2096"/>
      <w:bookmarkStart w:id="807" w:name="_Toc24924"/>
      <w:bookmarkStart w:id="808" w:name="_Toc24932"/>
      <w:bookmarkStart w:id="809" w:name="_Toc10358"/>
      <w:bookmarkStart w:id="810" w:name="_Toc29778"/>
      <w:bookmarkStart w:id="811" w:name="_Toc29145"/>
      <w:bookmarkStart w:id="812" w:name="_Toc31913"/>
      <w:bookmarkStart w:id="813" w:name="_Toc31386"/>
      <w:bookmarkStart w:id="814" w:name="_Toc14228"/>
      <w:bookmarkStart w:id="815" w:name="_Toc14173"/>
      <w:bookmarkStart w:id="816" w:name="_Toc7443"/>
      <w:bookmarkStart w:id="817" w:name="_Toc8794"/>
      <w:bookmarkStart w:id="818" w:name="_Toc23898"/>
      <w:bookmarkStart w:id="819" w:name="_Toc5292"/>
      <w:bookmarkStart w:id="820" w:name="_Toc5831"/>
      <w:bookmarkStart w:id="821" w:name="_Toc30623"/>
      <w:r>
        <w:rPr>
          <w:rFonts w:hint="eastAsia" w:ascii="楷体" w:hAnsi="楷体" w:eastAsia="楷体" w:cs="楷体"/>
          <w:b/>
          <w:bCs/>
          <w:sz w:val="32"/>
          <w:szCs w:val="32"/>
        </w:rPr>
        <w:t>第四节 “十四五”发展目标</w:t>
      </w:r>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p>
    <w:p>
      <w:pPr>
        <w:pStyle w:val="36"/>
        <w:overflowPunct w:val="0"/>
        <w:adjustRightInd w:val="0"/>
        <w:snapToGrid w:val="0"/>
        <w:spacing w:line="600" w:lineRule="exact"/>
        <w:ind w:firstLine="640" w:firstLineChars="200"/>
        <w:rPr>
          <w:rStyle w:val="37"/>
          <w:rFonts w:ascii="仿宋_GB2312" w:hAnsi="仿宋_GB2312" w:eastAsia="仿宋_GB2312" w:cs="仿宋_GB2312"/>
          <w:sz w:val="32"/>
          <w:szCs w:val="32"/>
        </w:rPr>
      </w:pPr>
      <w:r>
        <w:rPr>
          <w:rStyle w:val="37"/>
          <w:rFonts w:hint="eastAsia" w:ascii="仿宋_GB2312" w:hAnsi="仿宋_GB2312" w:eastAsia="仿宋_GB2312" w:cs="仿宋_GB2312"/>
          <w:sz w:val="32"/>
          <w:szCs w:val="32"/>
        </w:rPr>
        <w:t>瞄准高质量发展高地、法治城市示范、城市文明典范、民生幸福标杆、可持续发展先锋的战略定位持续奋斗。到2025年，建成现代化国际化创新型城市，基本实现社会主义现代化。</w:t>
      </w:r>
    </w:p>
    <w:p>
      <w:pPr>
        <w:pStyle w:val="36"/>
        <w:overflowPunct w:val="0"/>
        <w:adjustRightInd w:val="0"/>
        <w:snapToGrid w:val="0"/>
        <w:spacing w:line="600" w:lineRule="exact"/>
        <w:ind w:firstLine="643" w:firstLineChars="200"/>
        <w:rPr>
          <w:rStyle w:val="37"/>
          <w:rFonts w:ascii="仿宋_GB2312" w:hAnsi="仿宋_GB2312" w:eastAsia="仿宋_GB2312" w:cs="仿宋_GB2312"/>
          <w:sz w:val="32"/>
          <w:szCs w:val="32"/>
        </w:rPr>
      </w:pPr>
      <w:bookmarkStart w:id="822" w:name="_Toc20381"/>
      <w:bookmarkStart w:id="823" w:name="_Toc28849"/>
      <w:bookmarkStart w:id="824" w:name="_Toc17717"/>
      <w:bookmarkStart w:id="825" w:name="_Toc10195"/>
      <w:bookmarkStart w:id="826" w:name="_Toc11541"/>
      <w:bookmarkStart w:id="827" w:name="_Toc1206"/>
      <w:bookmarkStart w:id="828" w:name="_Toc25238"/>
      <w:bookmarkStart w:id="829" w:name="_Toc10169"/>
      <w:bookmarkStart w:id="830" w:name="_Toc23493"/>
      <w:bookmarkStart w:id="831" w:name="_Toc20788"/>
      <w:bookmarkStart w:id="832" w:name="_Toc12675"/>
      <w:bookmarkStart w:id="833" w:name="_Toc13664"/>
      <w:bookmarkStart w:id="834" w:name="_Toc3660"/>
      <w:bookmarkStart w:id="835" w:name="_Toc19741"/>
      <w:bookmarkStart w:id="836" w:name="_Toc8891"/>
      <w:bookmarkStart w:id="837" w:name="_Toc14834"/>
      <w:bookmarkStart w:id="838" w:name="_Toc3765"/>
      <w:bookmarkStart w:id="839" w:name="_Toc28007"/>
      <w:bookmarkStart w:id="840" w:name="_Toc12071"/>
      <w:bookmarkStart w:id="841" w:name="_Toc1276"/>
      <w:bookmarkStart w:id="842" w:name="_Toc2318"/>
      <w:r>
        <w:rPr>
          <w:rStyle w:val="37"/>
          <w:rFonts w:hint="eastAsia" w:ascii="仿宋_GB2312" w:hAnsi="仿宋_GB2312" w:eastAsia="仿宋_GB2312" w:cs="仿宋_GB2312"/>
          <w:b/>
          <w:bCs/>
          <w:sz w:val="32"/>
          <w:szCs w:val="32"/>
        </w:rPr>
        <w:t>——经济实力、发展质量跻身全球城市前列。</w:t>
      </w:r>
      <w:r>
        <w:rPr>
          <w:rStyle w:val="37"/>
          <w:rFonts w:hint="eastAsia" w:ascii="仿宋_GB2312" w:hAnsi="仿宋_GB2312" w:eastAsia="仿宋_GB2312" w:cs="仿宋_GB2312"/>
          <w:sz w:val="32"/>
          <w:szCs w:val="32"/>
        </w:rPr>
        <w:t>现代产业体系核心竞争力大幅提升，新经济发展国际领先，在构建高质量发展的体制机制上走在全国前列，经济总量超过</w:t>
      </w:r>
      <w:r>
        <w:rPr>
          <w:rStyle w:val="37"/>
          <w:rFonts w:ascii="仿宋_GB2312" w:hAnsi="仿宋_GB2312" w:eastAsia="仿宋_GB2312" w:cs="仿宋_GB2312"/>
          <w:sz w:val="32"/>
          <w:szCs w:val="32"/>
        </w:rPr>
        <w:t>4万亿元</w:t>
      </w:r>
      <w:r>
        <w:rPr>
          <w:rStyle w:val="37"/>
          <w:rFonts w:hint="eastAsia" w:ascii="仿宋_GB2312" w:hAnsi="仿宋_GB2312" w:eastAsia="仿宋_GB2312" w:cs="仿宋_GB2312"/>
          <w:sz w:val="32"/>
          <w:szCs w:val="32"/>
        </w:rPr>
        <w:t>，战略性新兴产业增加值超过1.5万亿元。</w:t>
      </w:r>
    </w:p>
    <w:p>
      <w:pPr>
        <w:pStyle w:val="36"/>
        <w:overflowPunct w:val="0"/>
        <w:adjustRightInd w:val="0"/>
        <w:snapToGrid w:val="0"/>
        <w:spacing w:line="600" w:lineRule="exact"/>
        <w:ind w:firstLine="643" w:firstLineChars="200"/>
        <w:rPr>
          <w:rStyle w:val="37"/>
          <w:rFonts w:ascii="仿宋_GB2312" w:hAnsi="仿宋_GB2312" w:eastAsia="仿宋_GB2312" w:cs="仿宋_GB2312"/>
          <w:sz w:val="32"/>
          <w:szCs w:val="32"/>
        </w:rPr>
      </w:pPr>
      <w:r>
        <w:rPr>
          <w:rStyle w:val="37"/>
          <w:rFonts w:hint="eastAsia" w:ascii="仿宋_GB2312" w:hAnsi="仿宋_GB2312" w:eastAsia="仿宋_GB2312" w:cs="仿宋_GB2312"/>
          <w:b/>
          <w:sz w:val="32"/>
          <w:szCs w:val="32"/>
        </w:rPr>
        <w:t>——</w:t>
      </w:r>
      <w:r>
        <w:rPr>
          <w:rStyle w:val="37"/>
          <w:rFonts w:hint="eastAsia" w:ascii="仿宋_GB2312" w:hAnsi="仿宋_GB2312" w:eastAsia="仿宋_GB2312" w:cs="仿宋_GB2312"/>
          <w:b/>
          <w:bCs/>
          <w:sz w:val="32"/>
          <w:szCs w:val="32"/>
        </w:rPr>
        <w:t>创新能级显著提升。</w:t>
      </w:r>
      <w:r>
        <w:rPr>
          <w:rStyle w:val="37"/>
          <w:rFonts w:hint="eastAsia" w:ascii="仿宋_GB2312" w:hAnsi="仿宋_GB2312" w:eastAsia="仿宋_GB2312" w:cs="仿宋_GB2312"/>
          <w:sz w:val="32"/>
          <w:szCs w:val="32"/>
        </w:rPr>
        <w:t>大湾区综合性国家科学中心建设取得显著成效，</w:t>
      </w:r>
      <w:r>
        <w:rPr>
          <w:rStyle w:val="37"/>
          <w:rFonts w:ascii="仿宋_GB2312" w:hAnsi="仿宋_GB2312" w:eastAsia="仿宋_GB2312" w:cs="仿宋_GB2312"/>
          <w:sz w:val="32"/>
          <w:szCs w:val="32"/>
        </w:rPr>
        <w:t>研发投入强度、产业创新能力</w:t>
      </w:r>
      <w:r>
        <w:rPr>
          <w:rStyle w:val="37"/>
          <w:rFonts w:hint="eastAsia" w:ascii="仿宋_GB2312" w:hAnsi="仿宋_GB2312" w:eastAsia="仿宋_GB2312" w:cs="仿宋_GB2312"/>
          <w:sz w:val="32"/>
          <w:szCs w:val="32"/>
        </w:rPr>
        <w:t>跻身</w:t>
      </w:r>
      <w:r>
        <w:rPr>
          <w:rStyle w:val="37"/>
          <w:rFonts w:ascii="仿宋_GB2312" w:hAnsi="仿宋_GB2312" w:eastAsia="仿宋_GB2312" w:cs="仿宋_GB2312"/>
          <w:sz w:val="32"/>
          <w:szCs w:val="32"/>
        </w:rPr>
        <w:t>世界一流，全社会研发投入占地区生产总值比重达5%左右，</w:t>
      </w:r>
      <w:r>
        <w:rPr>
          <w:rStyle w:val="37"/>
          <w:rFonts w:hint="eastAsia" w:ascii="仿宋_GB2312" w:hAnsi="仿宋_GB2312" w:eastAsia="仿宋_GB2312" w:cs="仿宋_GB2312"/>
          <w:sz w:val="32"/>
          <w:szCs w:val="32"/>
        </w:rPr>
        <w:t>原始创新能力实现较大提升，</w:t>
      </w:r>
      <w:r>
        <w:rPr>
          <w:rStyle w:val="37"/>
          <w:rFonts w:ascii="仿宋_GB2312" w:hAnsi="仿宋_GB2312" w:eastAsia="仿宋_GB2312" w:cs="仿宋_GB2312"/>
          <w:sz w:val="32"/>
          <w:szCs w:val="32"/>
        </w:rPr>
        <w:t>关键核心技术攻关取得重要突破。</w:t>
      </w:r>
    </w:p>
    <w:p>
      <w:pPr>
        <w:pStyle w:val="36"/>
        <w:overflowPunct w:val="0"/>
        <w:adjustRightInd w:val="0"/>
        <w:snapToGrid w:val="0"/>
        <w:spacing w:line="600" w:lineRule="exact"/>
        <w:ind w:firstLine="643" w:firstLineChars="200"/>
        <w:rPr>
          <w:rStyle w:val="37"/>
          <w:rFonts w:ascii="仿宋_GB2312" w:hAnsi="仿宋_GB2312" w:eastAsia="仿宋_GB2312" w:cs="仿宋_GB2312"/>
          <w:sz w:val="32"/>
          <w:szCs w:val="32"/>
        </w:rPr>
      </w:pPr>
      <w:r>
        <w:rPr>
          <w:rStyle w:val="37"/>
          <w:rFonts w:hint="eastAsia" w:ascii="仿宋_GB2312" w:hAnsi="仿宋_GB2312" w:eastAsia="仿宋_GB2312" w:cs="仿宋_GB2312"/>
          <w:b/>
          <w:bCs/>
          <w:sz w:val="32"/>
          <w:szCs w:val="32"/>
        </w:rPr>
        <w:t>——文化软实力大幅提升。</w:t>
      </w:r>
      <w:r>
        <w:rPr>
          <w:rStyle w:val="37"/>
          <w:rFonts w:hint="eastAsia" w:ascii="仿宋_GB2312" w:hAnsi="仿宋_GB2312" w:eastAsia="仿宋_GB2312" w:cs="仿宋_GB2312"/>
          <w:sz w:val="32"/>
          <w:szCs w:val="32"/>
        </w:rPr>
        <w:t>开放多元、兼容并蓄、创新创意、现代时尚的城市文化特质更加鲜明，社会主义核心价值观深入人心，城市文明程度、公共文化服务水平、文化产业发展质量显著提高，建成一批标志性文化基础设施，形成更具国际影响力的文化品牌和城市品牌。</w:t>
      </w:r>
    </w:p>
    <w:p>
      <w:pPr>
        <w:pStyle w:val="36"/>
        <w:overflowPunct w:val="0"/>
        <w:adjustRightInd w:val="0"/>
        <w:snapToGrid w:val="0"/>
        <w:spacing w:line="600" w:lineRule="exact"/>
        <w:ind w:firstLine="643" w:firstLineChars="200"/>
        <w:rPr>
          <w:rStyle w:val="37"/>
          <w:rFonts w:ascii="仿宋_GB2312" w:hAnsi="仿宋_GB2312" w:eastAsia="仿宋_GB2312" w:cs="仿宋_GB2312"/>
          <w:sz w:val="32"/>
          <w:szCs w:val="32"/>
        </w:rPr>
      </w:pPr>
      <w:r>
        <w:rPr>
          <w:rStyle w:val="37"/>
          <w:rFonts w:hint="eastAsia" w:ascii="仿宋_GB2312" w:hAnsi="仿宋_GB2312" w:eastAsia="仿宋_GB2312" w:cs="仿宋_GB2312"/>
          <w:b/>
          <w:bCs/>
          <w:sz w:val="32"/>
          <w:szCs w:val="32"/>
        </w:rPr>
        <w:t>——民生福祉达到新水平。</w:t>
      </w:r>
      <w:r>
        <w:rPr>
          <w:rStyle w:val="37"/>
          <w:rFonts w:hint="eastAsia" w:ascii="仿宋_GB2312" w:hAnsi="仿宋_GB2312" w:eastAsia="仿宋_GB2312" w:cs="仿宋_GB2312"/>
          <w:sz w:val="32"/>
          <w:szCs w:val="32"/>
        </w:rPr>
        <w:t>居民收入增长和经济增长基本同步，居民人均可支配收入超过9万元，优质均衡的公共服务体系基本形成，全覆盖可持续的社会保障体系更加完善，人民生活更殷实、更安康、更舒适。</w:t>
      </w:r>
    </w:p>
    <w:p>
      <w:pPr>
        <w:pStyle w:val="36"/>
        <w:overflowPunct w:val="0"/>
        <w:adjustRightInd w:val="0"/>
        <w:snapToGrid w:val="0"/>
        <w:spacing w:line="600" w:lineRule="exact"/>
        <w:ind w:firstLine="643" w:firstLineChars="200"/>
        <w:rPr>
          <w:rStyle w:val="37"/>
          <w:rFonts w:ascii="仿宋_GB2312" w:hAnsi="仿宋_GB2312" w:eastAsia="仿宋_GB2312" w:cs="仿宋_GB2312"/>
          <w:sz w:val="32"/>
          <w:szCs w:val="32"/>
        </w:rPr>
      </w:pPr>
      <w:r>
        <w:rPr>
          <w:rStyle w:val="37"/>
          <w:rFonts w:hint="eastAsia" w:ascii="仿宋_GB2312" w:hAnsi="仿宋_GB2312" w:eastAsia="仿宋_GB2312" w:cs="仿宋_GB2312"/>
          <w:b/>
          <w:bCs/>
          <w:sz w:val="32"/>
          <w:szCs w:val="32"/>
        </w:rPr>
        <w:t>——生态环境质量达到国际先进水平。</w:t>
      </w:r>
      <w:r>
        <w:rPr>
          <w:rStyle w:val="37"/>
          <w:rFonts w:hint="eastAsia" w:ascii="仿宋_GB2312" w:hAnsi="仿宋_GB2312" w:eastAsia="仿宋_GB2312" w:cs="仿宋_GB2312"/>
          <w:sz w:val="32"/>
          <w:szCs w:val="32"/>
        </w:rPr>
        <w:t>形成低消耗、少排放、能循环、可持续的绿色低碳发展方式，以先行示范标准推动碳达峰迈出坚实步伐，大气、水、土壤、近岸海域等环境质量持续提升，</w:t>
      </w:r>
      <w:r>
        <w:rPr>
          <w:rFonts w:ascii="仿宋_GB2312" w:eastAsia="仿宋_GB2312"/>
          <w:color w:val="000000"/>
          <w:sz w:val="32"/>
          <w:szCs w:val="32"/>
          <w:lang w:bidi="ar"/>
        </w:rPr>
        <w:t>PM</w:t>
      </w:r>
      <w:r>
        <w:rPr>
          <w:rFonts w:ascii="仿宋_GB2312" w:hAnsi="仿宋_GB2312" w:eastAsia="仿宋_GB2312" w:cs="仿宋_GB2312"/>
          <w:sz w:val="32"/>
          <w:szCs w:val="32"/>
          <w:vertAlign w:val="subscript"/>
        </w:rPr>
        <w:t>2.5</w:t>
      </w:r>
      <w:r>
        <w:rPr>
          <w:rFonts w:hint="eastAsia" w:ascii="仿宋_GB2312" w:eastAsia="仿宋_GB2312"/>
          <w:color w:val="000000"/>
          <w:sz w:val="32"/>
          <w:szCs w:val="32"/>
          <w:lang w:bidi="ar"/>
        </w:rPr>
        <w:t>年均浓度</w:t>
      </w:r>
      <w:r>
        <w:rPr>
          <w:rFonts w:hint="eastAsia" w:ascii="仿宋_GB2312" w:hAnsi="仿宋_GB2312" w:eastAsia="仿宋_GB2312" w:cs="仿宋_GB2312"/>
          <w:sz w:val="32"/>
          <w:szCs w:val="32"/>
        </w:rPr>
        <w:t>低于</w:t>
      </w:r>
      <w:r>
        <w:rPr>
          <w:rFonts w:ascii="仿宋_GB2312" w:eastAsia="仿宋_GB2312"/>
          <w:color w:val="000000"/>
          <w:sz w:val="32"/>
          <w:szCs w:val="32"/>
          <w:lang w:bidi="ar"/>
        </w:rPr>
        <w:t>20</w:t>
      </w:r>
      <w:r>
        <w:rPr>
          <w:rFonts w:hint="eastAsia" w:ascii="仿宋_GB2312" w:eastAsia="仿宋_GB2312"/>
          <w:color w:val="000000"/>
          <w:sz w:val="32"/>
          <w:szCs w:val="32"/>
          <w:lang w:bidi="ar"/>
        </w:rPr>
        <w:t>微克</w:t>
      </w:r>
      <w:r>
        <w:rPr>
          <w:rFonts w:ascii="仿宋_GB2312" w:eastAsia="仿宋_GB2312"/>
          <w:color w:val="000000"/>
          <w:sz w:val="32"/>
          <w:szCs w:val="32"/>
          <w:lang w:bidi="ar"/>
        </w:rPr>
        <w:t>/立方米</w:t>
      </w:r>
      <w:r>
        <w:rPr>
          <w:rFonts w:hint="eastAsia" w:ascii="仿宋_GB2312" w:eastAsia="仿宋_GB2312"/>
          <w:color w:val="000000"/>
          <w:sz w:val="32"/>
          <w:szCs w:val="32"/>
          <w:lang w:bidi="ar"/>
        </w:rPr>
        <w:t>，主要河流水质达到地表水Ⅳ类以上，</w:t>
      </w:r>
      <w:r>
        <w:rPr>
          <w:rStyle w:val="37"/>
          <w:rFonts w:hint="eastAsia" w:ascii="仿宋_GB2312" w:hAnsi="仿宋_GB2312" w:eastAsia="仿宋_GB2312" w:cs="仿宋_GB2312"/>
          <w:sz w:val="32"/>
          <w:szCs w:val="32"/>
        </w:rPr>
        <w:t>天更蓝、地更绿、水更清、城市更美丽。</w:t>
      </w:r>
    </w:p>
    <w:p>
      <w:pPr>
        <w:pStyle w:val="36"/>
        <w:overflowPunct w:val="0"/>
        <w:adjustRightInd w:val="0"/>
        <w:snapToGrid w:val="0"/>
        <w:spacing w:line="600" w:lineRule="exact"/>
        <w:ind w:firstLine="643" w:firstLineChars="200"/>
        <w:rPr>
          <w:rStyle w:val="37"/>
          <w:rFonts w:ascii="仿宋_GB2312" w:hAnsi="仿宋_GB2312" w:eastAsia="仿宋_GB2312" w:cs="仿宋_GB2312"/>
          <w:sz w:val="32"/>
          <w:szCs w:val="32"/>
        </w:rPr>
      </w:pPr>
      <w:r>
        <w:rPr>
          <w:rStyle w:val="37"/>
          <w:rFonts w:hint="eastAsia" w:ascii="仿宋_GB2312" w:hAnsi="仿宋_GB2312" w:eastAsia="仿宋_GB2312" w:cs="仿宋_GB2312"/>
          <w:b/>
          <w:bCs/>
          <w:sz w:val="32"/>
          <w:szCs w:val="32"/>
        </w:rPr>
        <w:t>——城市治理体系和治理能力现代化基本实现。</w:t>
      </w:r>
      <w:r>
        <w:rPr>
          <w:rStyle w:val="37"/>
          <w:rFonts w:hint="eastAsia" w:ascii="仿宋_GB2312" w:hAnsi="仿宋_GB2312" w:eastAsia="仿宋_GB2312" w:cs="仿宋_GB2312"/>
          <w:sz w:val="32"/>
          <w:szCs w:val="32"/>
        </w:rPr>
        <w:t>城市治理的法治化、科学化、精细化、智能化水平大幅提升，稳定公平透明、可预期的国际一流法治化营商环境基本形成，城市更宜居、更韧性、更智能，努力成为超大型城市现代化治理的典范。</w:t>
      </w:r>
    </w:p>
    <w:p>
      <w:pPr>
        <w:overflowPunct w:val="0"/>
        <w:adjustRightInd w:val="0"/>
        <w:snapToGrid w:val="0"/>
        <w:spacing w:line="600" w:lineRule="exact"/>
        <w:ind w:firstLine="640" w:firstLineChars="200"/>
        <w:jc w:val="left"/>
        <w:rPr>
          <w:rStyle w:val="37"/>
          <w:rFonts w:ascii="仿宋_GB2312" w:hAnsi="仿宋_GB2312" w:eastAsia="仿宋_GB2312" w:cs="仿宋_GB2312"/>
          <w:sz w:val="32"/>
          <w:szCs w:val="32"/>
        </w:rPr>
      </w:pPr>
      <w:r>
        <w:rPr>
          <w:rStyle w:val="37"/>
          <w:rFonts w:hint="eastAsia" w:ascii="仿宋_GB2312" w:hAnsi="仿宋_GB2312" w:eastAsia="仿宋_GB2312" w:cs="仿宋_GB2312"/>
          <w:sz w:val="32"/>
          <w:szCs w:val="32"/>
        </w:rPr>
        <w:br w:type="page"/>
      </w:r>
    </w:p>
    <w:p>
      <w:pPr>
        <w:pStyle w:val="36"/>
        <w:overflowPunct w:val="0"/>
        <w:adjustRightInd w:val="0"/>
        <w:snapToGrid w:val="0"/>
        <w:spacing w:line="600" w:lineRule="exact"/>
        <w:jc w:val="center"/>
        <w:rPr>
          <w:rFonts w:ascii="黑体" w:hAnsi="黑体" w:eastAsia="黑体" w:cs="黑体"/>
          <w:sz w:val="24"/>
        </w:rPr>
      </w:pPr>
      <w:r>
        <w:rPr>
          <w:rFonts w:hint="eastAsia" w:ascii="黑体" w:hAnsi="黑体" w:eastAsia="黑体" w:cs="黑体"/>
          <w:sz w:val="24"/>
        </w:rPr>
        <w:t>专栏1：“十四五”经济社会发展调控指标体系</w:t>
      </w:r>
    </w:p>
    <w:tbl>
      <w:tblPr>
        <w:tblStyle w:val="28"/>
        <w:tblW w:w="8336" w:type="dxa"/>
        <w:jc w:val="center"/>
        <w:tblLayout w:type="fixed"/>
        <w:tblCellMar>
          <w:top w:w="15" w:type="dxa"/>
          <w:left w:w="15" w:type="dxa"/>
          <w:bottom w:w="15" w:type="dxa"/>
          <w:right w:w="15" w:type="dxa"/>
        </w:tblCellMar>
      </w:tblPr>
      <w:tblGrid>
        <w:gridCol w:w="724"/>
        <w:gridCol w:w="702"/>
        <w:gridCol w:w="3611"/>
        <w:gridCol w:w="1145"/>
        <w:gridCol w:w="930"/>
        <w:gridCol w:w="1224"/>
      </w:tblGrid>
      <w:tr>
        <w:tblPrEx>
          <w:tblCellMar>
            <w:top w:w="15" w:type="dxa"/>
            <w:left w:w="15" w:type="dxa"/>
            <w:bottom w:w="15" w:type="dxa"/>
            <w:right w:w="15" w:type="dxa"/>
          </w:tblCellMar>
        </w:tblPrEx>
        <w:trPr>
          <w:cantSplit/>
          <w:trHeight w:val="757" w:hRule="atLeast"/>
          <w:tblHeader/>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lang w:bidi="ar"/>
              </w:rPr>
              <w:t>类别</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lang w:bidi="ar"/>
              </w:rPr>
              <w:t>序号</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lang w:bidi="ar"/>
              </w:rPr>
              <w:t>指标</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lang w:bidi="ar"/>
              </w:rPr>
              <w:t>单位</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lang w:bidi="ar"/>
              </w:rPr>
              <w:t>属性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lang w:bidi="ar"/>
              </w:rPr>
              <w:t>2025年</w:t>
            </w:r>
            <w:r>
              <w:rPr>
                <w:rFonts w:hint="eastAsia" w:ascii="仿宋_GB2312" w:hAnsi="仿宋_GB2312" w:eastAsia="仿宋_GB2312" w:cs="仿宋_GB2312"/>
                <w:b/>
                <w:color w:val="000000"/>
                <w:kern w:val="0"/>
                <w:szCs w:val="21"/>
                <w:lang w:bidi="ar"/>
              </w:rPr>
              <w:br w:type="textWrapping"/>
            </w:r>
            <w:r>
              <w:rPr>
                <w:rFonts w:hint="eastAsia" w:ascii="仿宋_GB2312" w:hAnsi="仿宋_GB2312" w:eastAsia="仿宋_GB2312" w:cs="仿宋_GB2312"/>
                <w:b/>
                <w:color w:val="000000"/>
                <w:kern w:val="0"/>
                <w:szCs w:val="21"/>
                <w:lang w:bidi="ar"/>
              </w:rPr>
              <w:t>目标值</w:t>
            </w:r>
          </w:p>
        </w:tc>
      </w:tr>
      <w:tr>
        <w:tblPrEx>
          <w:tblCellMar>
            <w:top w:w="15" w:type="dxa"/>
            <w:left w:w="15" w:type="dxa"/>
            <w:bottom w:w="15" w:type="dxa"/>
            <w:right w:w="15" w:type="dxa"/>
          </w:tblCellMar>
        </w:tblPrEx>
        <w:trPr>
          <w:cantSplit/>
          <w:trHeight w:val="428" w:hRule="atLeast"/>
          <w:jc w:val="center"/>
        </w:trPr>
        <w:tc>
          <w:tcPr>
            <w:tcW w:w="724"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color w:val="000000"/>
                <w:kern w:val="0"/>
                <w:szCs w:val="21"/>
                <w:lang w:bidi="ar"/>
              </w:rPr>
            </w:pPr>
            <w:r>
              <w:rPr>
                <w:rFonts w:hint="eastAsia" w:ascii="仿宋_GB2312" w:hAnsi="仿宋_GB2312" w:eastAsia="仿宋_GB2312" w:cs="仿宋_GB2312"/>
                <w:b/>
                <w:color w:val="000000"/>
                <w:kern w:val="0"/>
                <w:szCs w:val="21"/>
                <w:lang w:bidi="ar"/>
              </w:rPr>
              <w:t>经济</w:t>
            </w:r>
          </w:p>
          <w:p>
            <w:pPr>
              <w:widowControl/>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lang w:bidi="ar"/>
              </w:rPr>
              <w:t>发展</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地区生产总值增长</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预期性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{6.0}</w:t>
            </w:r>
          </w:p>
        </w:tc>
      </w:tr>
      <w:tr>
        <w:tblPrEx>
          <w:tblCellMar>
            <w:top w:w="15" w:type="dxa"/>
            <w:left w:w="15" w:type="dxa"/>
            <w:bottom w:w="15" w:type="dxa"/>
            <w:right w:w="15" w:type="dxa"/>
          </w:tblCellMar>
        </w:tblPrEx>
        <w:trPr>
          <w:cantSplit/>
          <w:trHeight w:val="476" w:hRule="atLeast"/>
          <w:jc w:val="center"/>
        </w:trPr>
        <w:tc>
          <w:tcPr>
            <w:tcW w:w="724"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Cs w:val="21"/>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ascii="仿宋_GB2312" w:hAnsi="仿宋_GB2312" w:eastAsia="仿宋_GB2312" w:cs="仿宋_GB2312"/>
                <w:color w:val="000000"/>
                <w:kern w:val="0"/>
                <w:szCs w:val="21"/>
                <w:lang w:bidi="ar"/>
              </w:rPr>
              <w:t>2</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人均地区生产总值</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万元</w:t>
            </w:r>
            <w:r>
              <w:rPr>
                <w:rFonts w:ascii="仿宋_GB2312" w:hAnsi="仿宋_GB2312" w:eastAsia="仿宋_GB2312" w:cs="仿宋_GB2312"/>
                <w:color w:val="000000"/>
                <w:kern w:val="0"/>
                <w:szCs w:val="21"/>
                <w:lang w:bidi="ar"/>
              </w:rPr>
              <w:t>/人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预期性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21.5</w:t>
            </w:r>
          </w:p>
        </w:tc>
      </w:tr>
      <w:tr>
        <w:tblPrEx>
          <w:tblCellMar>
            <w:top w:w="15" w:type="dxa"/>
            <w:left w:w="15" w:type="dxa"/>
            <w:bottom w:w="15" w:type="dxa"/>
            <w:right w:w="15" w:type="dxa"/>
          </w:tblCellMar>
        </w:tblPrEx>
        <w:trPr>
          <w:cantSplit/>
          <w:trHeight w:val="476" w:hRule="atLeast"/>
          <w:jc w:val="center"/>
        </w:trPr>
        <w:tc>
          <w:tcPr>
            <w:tcW w:w="724"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Cs w:val="21"/>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ascii="仿宋_GB2312" w:hAnsi="仿宋_GB2312" w:eastAsia="仿宋_GB2312" w:cs="仿宋_GB2312"/>
                <w:color w:val="000000"/>
                <w:kern w:val="0"/>
                <w:szCs w:val="21"/>
                <w:lang w:bidi="ar"/>
              </w:rPr>
              <w:t>3</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lang w:bidi="ar"/>
              </w:rPr>
              <w:t>全员劳动生产率增长</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预期性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{5.0}</w:t>
            </w:r>
          </w:p>
        </w:tc>
      </w:tr>
      <w:tr>
        <w:tblPrEx>
          <w:tblCellMar>
            <w:top w:w="15" w:type="dxa"/>
            <w:left w:w="15" w:type="dxa"/>
            <w:bottom w:w="15" w:type="dxa"/>
            <w:right w:w="15" w:type="dxa"/>
          </w:tblCellMar>
        </w:tblPrEx>
        <w:trPr>
          <w:cantSplit/>
          <w:trHeight w:val="476" w:hRule="atLeast"/>
          <w:jc w:val="center"/>
        </w:trPr>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color w:val="000000"/>
                <w:kern w:val="0"/>
                <w:szCs w:val="21"/>
                <w:lang w:bidi="ar"/>
              </w:rPr>
            </w:pPr>
            <w:r>
              <w:rPr>
                <w:rFonts w:hint="eastAsia" w:ascii="仿宋_GB2312" w:hAnsi="仿宋_GB2312" w:eastAsia="仿宋_GB2312" w:cs="仿宋_GB2312"/>
                <w:b/>
                <w:color w:val="000000"/>
                <w:kern w:val="0"/>
                <w:szCs w:val="21"/>
                <w:lang w:bidi="ar"/>
              </w:rPr>
              <w:t>创新</w:t>
            </w:r>
          </w:p>
          <w:p>
            <w:pPr>
              <w:widowControl/>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lang w:bidi="ar"/>
              </w:rPr>
              <w:t>驱动</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lang w:bidi="ar"/>
              </w:rPr>
              <w:t>全社会研发经费投入增长</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预期性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szCs w:val="21"/>
              </w:rPr>
              <w:t>6.4</w:t>
            </w:r>
            <w:r>
              <w:rPr>
                <w:rFonts w:hint="eastAsia" w:ascii="仿宋_GB2312" w:hAnsi="仿宋_GB2312" w:eastAsia="仿宋_GB2312" w:cs="仿宋_GB2312"/>
                <w:color w:val="000000"/>
                <w:kern w:val="0"/>
                <w:szCs w:val="21"/>
                <w:lang w:bidi="ar"/>
              </w:rPr>
              <w:t>}</w:t>
            </w:r>
          </w:p>
        </w:tc>
      </w:tr>
      <w:tr>
        <w:tblPrEx>
          <w:tblCellMar>
            <w:top w:w="15" w:type="dxa"/>
            <w:left w:w="15" w:type="dxa"/>
            <w:bottom w:w="15" w:type="dxa"/>
            <w:right w:w="15" w:type="dxa"/>
          </w:tblCellMar>
        </w:tblPrEx>
        <w:trPr>
          <w:cantSplit/>
          <w:trHeight w:val="476" w:hRule="atLeast"/>
          <w:jc w:val="center"/>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color w:val="000000"/>
                <w:szCs w:val="21"/>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ascii="仿宋_GB2312" w:hAnsi="仿宋_GB2312" w:eastAsia="仿宋_GB2312" w:cs="仿宋_GB2312"/>
                <w:color w:val="000000"/>
                <w:kern w:val="0"/>
                <w:szCs w:val="21"/>
                <w:lang w:bidi="ar"/>
              </w:rPr>
              <w:t>5</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每万人口高价值发明专利拥有量</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件</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预期性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108</w:t>
            </w:r>
          </w:p>
        </w:tc>
      </w:tr>
      <w:tr>
        <w:tblPrEx>
          <w:tblCellMar>
            <w:top w:w="15" w:type="dxa"/>
            <w:left w:w="15" w:type="dxa"/>
            <w:bottom w:w="15" w:type="dxa"/>
            <w:right w:w="15" w:type="dxa"/>
          </w:tblCellMar>
        </w:tblPrEx>
        <w:trPr>
          <w:cantSplit/>
          <w:trHeight w:val="476" w:hRule="atLeast"/>
          <w:jc w:val="center"/>
        </w:trPr>
        <w:tc>
          <w:tcPr>
            <w:tcW w:w="724"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仿宋_GB2312" w:hAnsi="仿宋_GB2312" w:eastAsia="仿宋_GB2312" w:cs="仿宋_GB2312"/>
                <w:b/>
                <w:color w:val="000000"/>
                <w:szCs w:val="21"/>
              </w:rPr>
            </w:pPr>
          </w:p>
        </w:tc>
        <w:tc>
          <w:tcPr>
            <w:tcW w:w="702"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ascii="仿宋_GB2312" w:hAnsi="仿宋_GB2312" w:eastAsia="仿宋_GB2312" w:cs="仿宋_GB2312"/>
                <w:color w:val="000000"/>
                <w:kern w:val="0"/>
                <w:szCs w:val="21"/>
                <w:lang w:bidi="ar"/>
              </w:rPr>
              <w:t>6</w:t>
            </w:r>
          </w:p>
        </w:tc>
        <w:tc>
          <w:tcPr>
            <w:tcW w:w="3611"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数字经济核心产业增加值占GDP比重</w:t>
            </w:r>
          </w:p>
        </w:tc>
        <w:tc>
          <w:tcPr>
            <w:tcW w:w="114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w:t>
            </w:r>
          </w:p>
        </w:tc>
        <w:tc>
          <w:tcPr>
            <w:tcW w:w="93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预期性</w:t>
            </w:r>
          </w:p>
        </w:tc>
        <w:tc>
          <w:tcPr>
            <w:tcW w:w="122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31</w:t>
            </w:r>
          </w:p>
        </w:tc>
      </w:tr>
      <w:tr>
        <w:tblPrEx>
          <w:tblCellMar>
            <w:top w:w="15" w:type="dxa"/>
            <w:left w:w="15" w:type="dxa"/>
            <w:bottom w:w="15" w:type="dxa"/>
            <w:right w:w="15" w:type="dxa"/>
          </w:tblCellMar>
        </w:tblPrEx>
        <w:trPr>
          <w:cantSplit/>
          <w:trHeight w:val="476" w:hRule="atLeast"/>
          <w:jc w:val="center"/>
        </w:trPr>
        <w:tc>
          <w:tcPr>
            <w:tcW w:w="724"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
                <w:color w:val="000000"/>
                <w:kern w:val="0"/>
                <w:szCs w:val="21"/>
                <w:lang w:bidi="ar"/>
              </w:rPr>
            </w:pPr>
            <w:r>
              <w:rPr>
                <w:rFonts w:hint="eastAsia" w:ascii="仿宋_GB2312" w:hAnsi="仿宋_GB2312" w:eastAsia="仿宋_GB2312" w:cs="仿宋_GB2312"/>
                <w:b/>
                <w:color w:val="000000"/>
                <w:kern w:val="0"/>
                <w:szCs w:val="21"/>
                <w:lang w:bidi="ar"/>
              </w:rPr>
              <w:t>民生</w:t>
            </w:r>
          </w:p>
          <w:p>
            <w:pPr>
              <w:widowControl/>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lang w:bidi="ar"/>
              </w:rPr>
              <w:t>福祉</w:t>
            </w: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7</w:t>
            </w:r>
          </w:p>
        </w:tc>
        <w:tc>
          <w:tcPr>
            <w:tcW w:w="361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居民人均可支配收入增长</w:t>
            </w:r>
          </w:p>
        </w:tc>
        <w:tc>
          <w:tcPr>
            <w:tcW w:w="114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93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预期性</w:t>
            </w:r>
          </w:p>
        </w:tc>
        <w:tc>
          <w:tcPr>
            <w:tcW w:w="1224"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{6.0}</w:t>
            </w:r>
          </w:p>
        </w:tc>
      </w:tr>
      <w:tr>
        <w:tblPrEx>
          <w:tblCellMar>
            <w:top w:w="15" w:type="dxa"/>
            <w:left w:w="15" w:type="dxa"/>
            <w:bottom w:w="15" w:type="dxa"/>
            <w:right w:w="15" w:type="dxa"/>
          </w:tblCellMar>
        </w:tblPrEx>
        <w:trPr>
          <w:cantSplit/>
          <w:trHeight w:val="476" w:hRule="atLeast"/>
          <w:jc w:val="center"/>
        </w:trPr>
        <w:tc>
          <w:tcPr>
            <w:tcW w:w="724" w:type="dxa"/>
            <w:vMerge w:val="continue"/>
            <w:tcBorders>
              <w:left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000000"/>
                <w:szCs w:val="21"/>
              </w:rPr>
            </w:pP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ascii="仿宋_GB2312" w:hAnsi="仿宋_GB2312" w:eastAsia="仿宋_GB2312" w:cs="仿宋_GB2312"/>
                <w:color w:val="000000"/>
                <w:kern w:val="0"/>
                <w:szCs w:val="21"/>
                <w:lang w:bidi="ar"/>
              </w:rPr>
              <w:t>8</w:t>
            </w:r>
          </w:p>
        </w:tc>
        <w:tc>
          <w:tcPr>
            <w:tcW w:w="361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城镇调查失业率</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ascii="仿宋_GB2312" w:hAnsi="仿宋_GB2312" w:eastAsia="仿宋_GB2312" w:cs="仿宋_GB2312"/>
                <w:color w:val="000000"/>
                <w:kern w:val="0"/>
                <w:szCs w:val="21"/>
                <w:lang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预期性</w:t>
            </w:r>
          </w:p>
        </w:tc>
        <w:tc>
          <w:tcPr>
            <w:tcW w:w="1224"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{≤5}</w:t>
            </w:r>
          </w:p>
        </w:tc>
      </w:tr>
      <w:tr>
        <w:tblPrEx>
          <w:tblCellMar>
            <w:top w:w="15" w:type="dxa"/>
            <w:left w:w="15" w:type="dxa"/>
            <w:bottom w:w="15" w:type="dxa"/>
            <w:right w:w="15" w:type="dxa"/>
          </w:tblCellMar>
        </w:tblPrEx>
        <w:trPr>
          <w:cantSplit/>
          <w:trHeight w:val="476" w:hRule="atLeast"/>
          <w:jc w:val="center"/>
        </w:trPr>
        <w:tc>
          <w:tcPr>
            <w:tcW w:w="724" w:type="dxa"/>
            <w:vMerge w:val="continue"/>
            <w:tcBorders>
              <w:left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000000"/>
                <w:szCs w:val="21"/>
              </w:rPr>
            </w:pP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ascii="仿宋_GB2312" w:hAnsi="仿宋_GB2312" w:eastAsia="仿宋_GB2312" w:cs="仿宋_GB2312"/>
                <w:color w:val="000000"/>
                <w:kern w:val="0"/>
                <w:szCs w:val="21"/>
                <w:lang w:bidi="ar"/>
              </w:rPr>
              <w:t>9</w:t>
            </w:r>
          </w:p>
        </w:tc>
        <w:tc>
          <w:tcPr>
            <w:tcW w:w="361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劳动年龄人口平均受教育年限</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约束性</w:t>
            </w:r>
          </w:p>
        </w:tc>
        <w:tc>
          <w:tcPr>
            <w:tcW w:w="1224"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12.5</w:t>
            </w:r>
          </w:p>
        </w:tc>
      </w:tr>
      <w:tr>
        <w:tblPrEx>
          <w:tblCellMar>
            <w:top w:w="15" w:type="dxa"/>
            <w:left w:w="15" w:type="dxa"/>
            <w:bottom w:w="15" w:type="dxa"/>
            <w:right w:w="15" w:type="dxa"/>
          </w:tblCellMar>
        </w:tblPrEx>
        <w:trPr>
          <w:cantSplit/>
          <w:trHeight w:val="476" w:hRule="atLeast"/>
          <w:jc w:val="center"/>
        </w:trPr>
        <w:tc>
          <w:tcPr>
            <w:tcW w:w="724" w:type="dxa"/>
            <w:vMerge w:val="continue"/>
            <w:tcBorders>
              <w:left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000000"/>
                <w:szCs w:val="21"/>
              </w:rPr>
            </w:pP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1</w:t>
            </w:r>
            <w:r>
              <w:rPr>
                <w:rFonts w:hint="eastAsia" w:ascii="仿宋_GB2312" w:hAnsi="仿宋_GB2312" w:eastAsia="仿宋_GB2312" w:cs="仿宋_GB2312"/>
                <w:color w:val="000000"/>
                <w:kern w:val="0"/>
                <w:szCs w:val="21"/>
                <w:lang w:bidi="ar"/>
              </w:rPr>
              <w:t>0</w:t>
            </w:r>
          </w:p>
        </w:tc>
        <w:tc>
          <w:tcPr>
            <w:tcW w:w="3611"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新增供应公共住房</w:t>
            </w:r>
          </w:p>
        </w:tc>
        <w:tc>
          <w:tcPr>
            <w:tcW w:w="114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万套</w:t>
            </w:r>
          </w:p>
        </w:tc>
        <w:tc>
          <w:tcPr>
            <w:tcW w:w="93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预期性</w:t>
            </w:r>
          </w:p>
        </w:tc>
        <w:tc>
          <w:tcPr>
            <w:tcW w:w="1224"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≥28]</w:t>
            </w:r>
          </w:p>
        </w:tc>
      </w:tr>
      <w:tr>
        <w:tblPrEx>
          <w:tblCellMar>
            <w:top w:w="15" w:type="dxa"/>
            <w:left w:w="15" w:type="dxa"/>
            <w:bottom w:w="15" w:type="dxa"/>
            <w:right w:w="15" w:type="dxa"/>
          </w:tblCellMar>
        </w:tblPrEx>
        <w:trPr>
          <w:cantSplit/>
          <w:trHeight w:val="476" w:hRule="atLeast"/>
          <w:jc w:val="center"/>
        </w:trPr>
        <w:tc>
          <w:tcPr>
            <w:tcW w:w="724" w:type="dxa"/>
            <w:vMerge w:val="continue"/>
            <w:tcBorders>
              <w:left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000000"/>
                <w:szCs w:val="21"/>
              </w:rPr>
            </w:pP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ascii="仿宋_GB2312" w:hAnsi="仿宋_GB2312" w:eastAsia="仿宋_GB2312" w:cs="仿宋_GB2312"/>
                <w:color w:val="000000"/>
                <w:kern w:val="0"/>
                <w:szCs w:val="21"/>
                <w:lang w:bidi="ar"/>
              </w:rPr>
              <w:t>1</w:t>
            </w:r>
            <w:r>
              <w:rPr>
                <w:rFonts w:hint="eastAsia" w:ascii="仿宋_GB2312" w:hAnsi="仿宋_GB2312" w:eastAsia="仿宋_GB2312" w:cs="仿宋_GB2312"/>
                <w:color w:val="000000"/>
                <w:kern w:val="0"/>
                <w:szCs w:val="21"/>
                <w:lang w:bidi="ar"/>
              </w:rPr>
              <w:t>1</w:t>
            </w:r>
          </w:p>
        </w:tc>
        <w:tc>
          <w:tcPr>
            <w:tcW w:w="361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人均预期寿命</w:t>
            </w:r>
          </w:p>
        </w:tc>
        <w:tc>
          <w:tcPr>
            <w:tcW w:w="114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岁</w:t>
            </w:r>
          </w:p>
        </w:tc>
        <w:tc>
          <w:tcPr>
            <w:tcW w:w="93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预期性</w:t>
            </w:r>
          </w:p>
        </w:tc>
        <w:tc>
          <w:tcPr>
            <w:tcW w:w="1224"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ascii="仿宋_GB2312" w:hAnsi="仿宋_GB2312" w:eastAsia="仿宋_GB2312" w:cs="仿宋_GB2312"/>
                <w:color w:val="000000"/>
                <w:kern w:val="0"/>
                <w:szCs w:val="21"/>
                <w:lang w:bidi="ar"/>
              </w:rPr>
              <w:t>84</w:t>
            </w:r>
            <w:r>
              <w:rPr>
                <w:rFonts w:hint="eastAsia" w:ascii="仿宋_GB2312" w:hAnsi="仿宋_GB2312" w:eastAsia="仿宋_GB2312" w:cs="仿宋_GB2312"/>
                <w:color w:val="000000"/>
                <w:kern w:val="0"/>
                <w:szCs w:val="21"/>
                <w:lang w:bidi="ar"/>
              </w:rPr>
              <w:t>.53</w:t>
            </w:r>
          </w:p>
        </w:tc>
      </w:tr>
      <w:tr>
        <w:tblPrEx>
          <w:tblCellMar>
            <w:top w:w="15" w:type="dxa"/>
            <w:left w:w="15" w:type="dxa"/>
            <w:bottom w:w="15" w:type="dxa"/>
            <w:right w:w="15" w:type="dxa"/>
          </w:tblCellMar>
        </w:tblPrEx>
        <w:trPr>
          <w:cantSplit/>
          <w:trHeight w:val="476" w:hRule="atLeast"/>
          <w:jc w:val="center"/>
        </w:trPr>
        <w:tc>
          <w:tcPr>
            <w:tcW w:w="724" w:type="dxa"/>
            <w:vMerge w:val="continue"/>
            <w:tcBorders>
              <w:left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000000"/>
                <w:szCs w:val="21"/>
              </w:rPr>
            </w:pP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ascii="仿宋_GB2312" w:hAnsi="仿宋_GB2312" w:eastAsia="仿宋_GB2312" w:cs="仿宋_GB2312"/>
                <w:color w:val="000000"/>
                <w:kern w:val="0"/>
                <w:szCs w:val="21"/>
                <w:lang w:bidi="ar"/>
              </w:rPr>
              <w:t>1</w:t>
            </w:r>
            <w:r>
              <w:rPr>
                <w:rFonts w:hint="eastAsia" w:ascii="仿宋_GB2312" w:hAnsi="仿宋_GB2312" w:eastAsia="仿宋_GB2312" w:cs="仿宋_GB2312"/>
                <w:color w:val="000000"/>
                <w:kern w:val="0"/>
                <w:szCs w:val="21"/>
                <w:lang w:bidi="ar"/>
              </w:rPr>
              <w:t>2</w:t>
            </w:r>
          </w:p>
        </w:tc>
        <w:tc>
          <w:tcPr>
            <w:tcW w:w="361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每千人口拥有执业（助理）医师数</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预期性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3.0</w:t>
            </w:r>
          </w:p>
        </w:tc>
      </w:tr>
      <w:tr>
        <w:tblPrEx>
          <w:tblCellMar>
            <w:top w:w="15" w:type="dxa"/>
            <w:left w:w="15" w:type="dxa"/>
            <w:bottom w:w="15" w:type="dxa"/>
            <w:right w:w="15" w:type="dxa"/>
          </w:tblCellMar>
        </w:tblPrEx>
        <w:trPr>
          <w:cantSplit/>
          <w:trHeight w:val="476" w:hRule="atLeast"/>
          <w:jc w:val="center"/>
        </w:trPr>
        <w:tc>
          <w:tcPr>
            <w:tcW w:w="724" w:type="dxa"/>
            <w:vMerge w:val="continue"/>
            <w:tcBorders>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000000"/>
                <w:szCs w:val="21"/>
              </w:rPr>
            </w:pP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13</w:t>
            </w:r>
          </w:p>
        </w:tc>
        <w:tc>
          <w:tcPr>
            <w:tcW w:w="361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每千人口拥有</w:t>
            </w:r>
            <w:r>
              <w:rPr>
                <w:rFonts w:ascii="仿宋_GB2312" w:hAnsi="仿宋_GB2312" w:eastAsia="仿宋_GB2312" w:cs="仿宋_GB2312"/>
                <w:kern w:val="0"/>
                <w:szCs w:val="21"/>
                <w:lang w:bidi="ar"/>
              </w:rPr>
              <w:t>3岁以下婴幼儿托位数</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预期性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4.5</w:t>
            </w:r>
          </w:p>
        </w:tc>
      </w:tr>
      <w:tr>
        <w:tblPrEx>
          <w:tblCellMar>
            <w:top w:w="15" w:type="dxa"/>
            <w:left w:w="15" w:type="dxa"/>
            <w:bottom w:w="15" w:type="dxa"/>
            <w:right w:w="15" w:type="dxa"/>
          </w:tblCellMar>
        </w:tblPrEx>
        <w:trPr>
          <w:cantSplit/>
          <w:trHeight w:val="476" w:hRule="atLeast"/>
          <w:jc w:val="center"/>
        </w:trPr>
        <w:tc>
          <w:tcPr>
            <w:tcW w:w="724" w:type="dxa"/>
            <w:vMerge w:val="restart"/>
            <w:tcBorders>
              <w:top w:val="single" w:color="auto" w:sz="4" w:space="0"/>
              <w:left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000000"/>
                <w:szCs w:val="21"/>
              </w:rPr>
            </w:pPr>
          </w:p>
          <w:p>
            <w:pPr>
              <w:jc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绿色</w:t>
            </w:r>
          </w:p>
          <w:p>
            <w:pPr>
              <w:jc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生态</w:t>
            </w:r>
          </w:p>
        </w:tc>
        <w:tc>
          <w:tcPr>
            <w:tcW w:w="70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14</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环境空气质量优良天数比例</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约束性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szCs w:val="21"/>
              </w:rPr>
              <w:t>95</w:t>
            </w:r>
          </w:p>
        </w:tc>
      </w:tr>
      <w:tr>
        <w:tblPrEx>
          <w:tblCellMar>
            <w:top w:w="15" w:type="dxa"/>
            <w:left w:w="15" w:type="dxa"/>
            <w:bottom w:w="15" w:type="dxa"/>
            <w:right w:w="15" w:type="dxa"/>
          </w:tblCellMar>
        </w:tblPrEx>
        <w:trPr>
          <w:cantSplit/>
          <w:trHeight w:val="476" w:hRule="atLeast"/>
          <w:jc w:val="center"/>
        </w:trPr>
        <w:tc>
          <w:tcPr>
            <w:tcW w:w="724" w:type="dxa"/>
            <w:vMerge w:val="continue"/>
            <w:tcBorders>
              <w:left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000000"/>
                <w:szCs w:val="21"/>
              </w:rPr>
            </w:pPr>
          </w:p>
        </w:tc>
        <w:tc>
          <w:tcPr>
            <w:tcW w:w="70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1</w:t>
            </w:r>
            <w:r>
              <w:rPr>
                <w:rFonts w:hint="eastAsia" w:ascii="仿宋_GB2312" w:hAnsi="仿宋_GB2312" w:eastAsia="仿宋_GB2312" w:cs="仿宋_GB2312"/>
                <w:color w:val="000000"/>
                <w:kern w:val="0"/>
                <w:szCs w:val="21"/>
                <w:lang w:bidi="ar"/>
              </w:rPr>
              <w:t>5</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万元</w:t>
            </w:r>
            <w:r>
              <w:rPr>
                <w:rFonts w:ascii="仿宋_GB2312" w:hAnsi="仿宋_GB2312" w:eastAsia="仿宋_GB2312" w:cs="仿宋_GB2312"/>
                <w:color w:val="000000"/>
                <w:kern w:val="0"/>
                <w:szCs w:val="21"/>
                <w:lang w:bidi="ar"/>
              </w:rPr>
              <w:t>GDP水耗累计下降</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ascii="仿宋_GB2312" w:hAnsi="仿宋_GB2312" w:eastAsia="仿宋_GB2312" w:cs="仿宋_GB2312"/>
                <w:color w:val="000000"/>
                <w:kern w:val="0"/>
                <w:szCs w:val="21"/>
                <w:lang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约束性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r>
              <w:rPr>
                <w:rFonts w:ascii="仿宋_GB2312" w:hAnsi="仿宋_GB2312" w:eastAsia="仿宋_GB2312" w:cs="仿宋_GB2312"/>
                <w:color w:val="000000"/>
                <w:kern w:val="0"/>
                <w:szCs w:val="21"/>
                <w:lang w:bidi="ar"/>
              </w:rPr>
              <w:t>18</w:t>
            </w:r>
            <w:r>
              <w:rPr>
                <w:rFonts w:hint="eastAsia" w:ascii="仿宋_GB2312" w:hAnsi="仿宋_GB2312" w:eastAsia="仿宋_GB2312" w:cs="仿宋_GB2312"/>
                <w:color w:val="000000"/>
                <w:kern w:val="0"/>
                <w:szCs w:val="21"/>
                <w:lang w:bidi="ar"/>
              </w:rPr>
              <w:t>]</w:t>
            </w:r>
          </w:p>
        </w:tc>
      </w:tr>
      <w:tr>
        <w:tblPrEx>
          <w:tblCellMar>
            <w:top w:w="15" w:type="dxa"/>
            <w:left w:w="15" w:type="dxa"/>
            <w:bottom w:w="15" w:type="dxa"/>
            <w:right w:w="15" w:type="dxa"/>
          </w:tblCellMar>
        </w:tblPrEx>
        <w:trPr>
          <w:cantSplit/>
          <w:trHeight w:val="476" w:hRule="atLeast"/>
          <w:jc w:val="center"/>
        </w:trPr>
        <w:tc>
          <w:tcPr>
            <w:tcW w:w="724" w:type="dxa"/>
            <w:vMerge w:val="continue"/>
            <w:tcBorders>
              <w:left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000000"/>
                <w:szCs w:val="21"/>
              </w:rPr>
            </w:pPr>
          </w:p>
        </w:tc>
        <w:tc>
          <w:tcPr>
            <w:tcW w:w="70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1</w:t>
            </w:r>
            <w:r>
              <w:rPr>
                <w:rFonts w:hint="eastAsia" w:ascii="仿宋_GB2312" w:hAnsi="仿宋_GB2312" w:eastAsia="仿宋_GB2312" w:cs="仿宋_GB2312"/>
                <w:color w:val="000000"/>
                <w:kern w:val="0"/>
                <w:szCs w:val="21"/>
                <w:lang w:bidi="ar"/>
              </w:rPr>
              <w:t>6</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地表水达到或好于Ⅲ类水体比例</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ascii="仿宋_GB2312" w:hAnsi="仿宋_GB2312" w:eastAsia="仿宋_GB2312" w:cs="仿宋_GB2312"/>
                <w:color w:val="000000"/>
                <w:kern w:val="0"/>
                <w:szCs w:val="21"/>
                <w:lang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约束性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r>
              <w:rPr>
                <w:rFonts w:ascii="仿宋_GB2312" w:hAnsi="仿宋_GB2312" w:eastAsia="仿宋_GB2312" w:cs="仿宋_GB2312"/>
                <w:color w:val="000000"/>
                <w:szCs w:val="21"/>
              </w:rPr>
              <w:t>60</w:t>
            </w:r>
          </w:p>
        </w:tc>
      </w:tr>
      <w:tr>
        <w:tblPrEx>
          <w:tblCellMar>
            <w:top w:w="15" w:type="dxa"/>
            <w:left w:w="15" w:type="dxa"/>
            <w:bottom w:w="15" w:type="dxa"/>
            <w:right w:w="15" w:type="dxa"/>
          </w:tblCellMar>
        </w:tblPrEx>
        <w:trPr>
          <w:cantSplit/>
          <w:trHeight w:val="476" w:hRule="atLeast"/>
          <w:jc w:val="center"/>
        </w:trPr>
        <w:tc>
          <w:tcPr>
            <w:tcW w:w="724" w:type="dxa"/>
            <w:vMerge w:val="continue"/>
            <w:tcBorders>
              <w:left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000000"/>
                <w:szCs w:val="21"/>
              </w:rPr>
            </w:pPr>
          </w:p>
        </w:tc>
        <w:tc>
          <w:tcPr>
            <w:tcW w:w="70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1</w:t>
            </w:r>
            <w:r>
              <w:rPr>
                <w:rFonts w:hint="eastAsia" w:ascii="仿宋_GB2312" w:hAnsi="仿宋_GB2312" w:eastAsia="仿宋_GB2312" w:cs="仿宋_GB2312"/>
                <w:color w:val="000000"/>
                <w:kern w:val="0"/>
                <w:szCs w:val="21"/>
                <w:lang w:bidi="ar"/>
              </w:rPr>
              <w:t>7</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单位GDP</w:t>
            </w:r>
            <w:r>
              <w:rPr>
                <w:rFonts w:ascii="仿宋_GB2312" w:hAnsi="仿宋_GB2312" w:eastAsia="仿宋_GB2312" w:cs="仿宋_GB2312"/>
                <w:color w:val="000000"/>
                <w:kern w:val="0"/>
                <w:szCs w:val="21"/>
                <w:lang w:bidi="ar"/>
              </w:rPr>
              <w:t>二氧化碳排放</w:t>
            </w:r>
            <w:r>
              <w:rPr>
                <w:rFonts w:hint="eastAsia" w:ascii="仿宋_GB2312" w:hAnsi="仿宋_GB2312" w:eastAsia="仿宋_GB2312" w:cs="仿宋_GB2312"/>
                <w:color w:val="000000"/>
                <w:kern w:val="0"/>
                <w:szCs w:val="21"/>
                <w:lang w:bidi="ar"/>
              </w:rPr>
              <w:t>降低</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ascii="仿宋_GB2312" w:hAnsi="仿宋_GB2312" w:eastAsia="仿宋_GB2312" w:cs="仿宋_GB2312"/>
                <w:color w:val="000000"/>
                <w:kern w:val="0"/>
                <w:szCs w:val="21"/>
                <w:lang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约束性</w:t>
            </w:r>
          </w:p>
        </w:tc>
        <w:tc>
          <w:tcPr>
            <w:tcW w:w="1224"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完成国家和省下达任务</w:t>
            </w:r>
          </w:p>
        </w:tc>
      </w:tr>
      <w:tr>
        <w:tblPrEx>
          <w:tblCellMar>
            <w:top w:w="15" w:type="dxa"/>
            <w:left w:w="15" w:type="dxa"/>
            <w:bottom w:w="15" w:type="dxa"/>
            <w:right w:w="15" w:type="dxa"/>
          </w:tblCellMar>
        </w:tblPrEx>
        <w:trPr>
          <w:cantSplit/>
          <w:trHeight w:val="489" w:hRule="atLeast"/>
          <w:jc w:val="center"/>
        </w:trPr>
        <w:tc>
          <w:tcPr>
            <w:tcW w:w="724" w:type="dxa"/>
            <w:vMerge w:val="continue"/>
            <w:tcBorders>
              <w:left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000000"/>
                <w:szCs w:val="21"/>
              </w:rPr>
            </w:pPr>
          </w:p>
        </w:tc>
        <w:tc>
          <w:tcPr>
            <w:tcW w:w="70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18</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单位GDP</w:t>
            </w:r>
            <w:r>
              <w:rPr>
                <w:rFonts w:ascii="仿宋_GB2312" w:hAnsi="仿宋_GB2312" w:eastAsia="仿宋_GB2312" w:cs="仿宋_GB2312"/>
                <w:color w:val="000000"/>
                <w:kern w:val="0"/>
                <w:szCs w:val="21"/>
                <w:lang w:bidi="ar"/>
              </w:rPr>
              <w:t>能</w:t>
            </w:r>
            <w:r>
              <w:rPr>
                <w:rFonts w:hint="eastAsia" w:ascii="仿宋_GB2312" w:hAnsi="仿宋_GB2312" w:eastAsia="仿宋_GB2312" w:cs="仿宋_GB2312"/>
                <w:color w:val="000000"/>
                <w:kern w:val="0"/>
                <w:szCs w:val="21"/>
                <w:lang w:bidi="ar"/>
              </w:rPr>
              <w:t>源消耗降低</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ascii="仿宋_GB2312" w:hAnsi="仿宋_GB2312" w:eastAsia="仿宋_GB2312" w:cs="仿宋_GB2312"/>
                <w:color w:val="000000"/>
                <w:kern w:val="0"/>
                <w:szCs w:val="21"/>
                <w:lang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约束性</w:t>
            </w:r>
          </w:p>
        </w:tc>
        <w:tc>
          <w:tcPr>
            <w:tcW w:w="122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Cs w:val="21"/>
              </w:rPr>
            </w:pPr>
          </w:p>
        </w:tc>
      </w:tr>
      <w:tr>
        <w:tblPrEx>
          <w:tblCellMar>
            <w:top w:w="15" w:type="dxa"/>
            <w:left w:w="15" w:type="dxa"/>
            <w:bottom w:w="15" w:type="dxa"/>
            <w:right w:w="15" w:type="dxa"/>
          </w:tblCellMar>
        </w:tblPrEx>
        <w:trPr>
          <w:cantSplit/>
          <w:trHeight w:val="476" w:hRule="atLeast"/>
          <w:jc w:val="center"/>
        </w:trPr>
        <w:tc>
          <w:tcPr>
            <w:tcW w:w="724" w:type="dxa"/>
            <w:vMerge w:val="continue"/>
            <w:tcBorders>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000000"/>
                <w:szCs w:val="21"/>
              </w:rPr>
            </w:pPr>
          </w:p>
        </w:tc>
        <w:tc>
          <w:tcPr>
            <w:tcW w:w="70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19</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森林覆盖率</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约束性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r>
              <w:rPr>
                <w:rFonts w:ascii="仿宋_GB2312" w:hAnsi="仿宋_GB2312" w:eastAsia="仿宋_GB2312" w:cs="仿宋_GB2312"/>
                <w:color w:val="000000"/>
                <w:kern w:val="0"/>
                <w:szCs w:val="21"/>
                <w:lang w:bidi="ar"/>
              </w:rPr>
              <w:t>37</w:t>
            </w:r>
          </w:p>
        </w:tc>
      </w:tr>
      <w:tr>
        <w:tblPrEx>
          <w:tblCellMar>
            <w:top w:w="15" w:type="dxa"/>
            <w:left w:w="15" w:type="dxa"/>
            <w:bottom w:w="15" w:type="dxa"/>
            <w:right w:w="15" w:type="dxa"/>
          </w:tblCellMar>
        </w:tblPrEx>
        <w:trPr>
          <w:cantSplit/>
          <w:trHeight w:val="476" w:hRule="atLeast"/>
          <w:jc w:val="center"/>
        </w:trPr>
        <w:tc>
          <w:tcPr>
            <w:tcW w:w="7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安全</w:t>
            </w:r>
          </w:p>
          <w:p>
            <w:pPr>
              <w:jc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保障</w:t>
            </w: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20</w:t>
            </w:r>
          </w:p>
        </w:tc>
        <w:tc>
          <w:tcPr>
            <w:tcW w:w="361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粮食储备保障能力</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天</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约束性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270</w:t>
            </w:r>
          </w:p>
        </w:tc>
      </w:tr>
      <w:tr>
        <w:tblPrEx>
          <w:tblCellMar>
            <w:top w:w="15" w:type="dxa"/>
            <w:left w:w="15" w:type="dxa"/>
            <w:bottom w:w="15" w:type="dxa"/>
            <w:right w:w="15" w:type="dxa"/>
          </w:tblCellMar>
        </w:tblPrEx>
        <w:trPr>
          <w:cantSplit/>
          <w:trHeight w:val="476" w:hRule="atLeast"/>
          <w:jc w:val="center"/>
        </w:trPr>
        <w:tc>
          <w:tcPr>
            <w:tcW w:w="7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000000"/>
                <w:szCs w:val="21"/>
              </w:rPr>
            </w:pP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w:t>
            </w:r>
            <w:r>
              <w:rPr>
                <w:rFonts w:hint="eastAsia" w:ascii="仿宋_GB2312" w:hAnsi="仿宋_GB2312" w:eastAsia="仿宋_GB2312" w:cs="仿宋_GB2312"/>
                <w:color w:val="000000"/>
                <w:kern w:val="0"/>
                <w:szCs w:val="21"/>
                <w:lang w:bidi="ar"/>
              </w:rPr>
              <w:t>1</w:t>
            </w:r>
          </w:p>
        </w:tc>
        <w:tc>
          <w:tcPr>
            <w:tcW w:w="361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能源综合生产能力</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万吨标准煤</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约束性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≥1300</w:t>
            </w:r>
          </w:p>
        </w:tc>
      </w:tr>
      <w:tr>
        <w:tblPrEx>
          <w:tblCellMar>
            <w:top w:w="15" w:type="dxa"/>
            <w:left w:w="15" w:type="dxa"/>
            <w:bottom w:w="15" w:type="dxa"/>
            <w:right w:w="15" w:type="dxa"/>
          </w:tblCellMar>
        </w:tblPrEx>
        <w:trPr>
          <w:cantSplit/>
          <w:trHeight w:val="476" w:hRule="atLeast"/>
          <w:jc w:val="center"/>
        </w:trPr>
        <w:tc>
          <w:tcPr>
            <w:tcW w:w="7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000000"/>
                <w:szCs w:val="21"/>
              </w:rPr>
            </w:pP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w:t>
            </w:r>
            <w:r>
              <w:rPr>
                <w:rFonts w:hint="eastAsia" w:ascii="仿宋_GB2312" w:hAnsi="仿宋_GB2312" w:eastAsia="仿宋_GB2312" w:cs="仿宋_GB2312"/>
                <w:color w:val="000000"/>
                <w:kern w:val="0"/>
                <w:szCs w:val="21"/>
                <w:lang w:bidi="ar"/>
              </w:rPr>
              <w:t>2</w:t>
            </w:r>
          </w:p>
        </w:tc>
        <w:tc>
          <w:tcPr>
            <w:tcW w:w="361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亿元</w:t>
            </w:r>
            <w:r>
              <w:rPr>
                <w:rFonts w:ascii="仿宋_GB2312" w:hAnsi="仿宋_GB2312" w:eastAsia="仿宋_GB2312" w:cs="仿宋_GB2312"/>
                <w:color w:val="000000"/>
                <w:kern w:val="0"/>
                <w:szCs w:val="21"/>
                <w:lang w:bidi="ar"/>
              </w:rPr>
              <w:t>GDP生产安全事故死亡率</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人</w:t>
            </w:r>
            <w:r>
              <w:rPr>
                <w:rFonts w:ascii="仿宋_GB2312" w:hAnsi="仿宋_GB2312" w:eastAsia="仿宋_GB2312" w:cs="仿宋_GB2312"/>
                <w:color w:val="000000"/>
                <w:kern w:val="0"/>
                <w:szCs w:val="21"/>
                <w:lang w:bidi="ar"/>
              </w:rPr>
              <w:t>/亿元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约束性</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r>
              <w:rPr>
                <w:rFonts w:ascii="仿宋_GB2312" w:hAnsi="仿宋_GB2312" w:eastAsia="仿宋_GB2312" w:cs="仿宋_GB2312"/>
                <w:color w:val="000000"/>
                <w:kern w:val="0"/>
                <w:szCs w:val="21"/>
                <w:lang w:bidi="ar"/>
              </w:rPr>
              <w:t>0.00791</w:t>
            </w:r>
          </w:p>
        </w:tc>
      </w:tr>
    </w:tbl>
    <w:p>
      <w:pPr>
        <w:spacing w:line="400" w:lineRule="exact"/>
        <w:rPr>
          <w:rFonts w:ascii="仿宋_GB2312" w:eastAsia="仿宋_GB2312"/>
          <w:szCs w:val="21"/>
          <w:lang w:bidi="ar"/>
        </w:rPr>
      </w:pPr>
      <w:r>
        <w:rPr>
          <w:rFonts w:hint="eastAsia" w:ascii="仿宋_GB2312" w:eastAsia="仿宋_GB2312"/>
          <w:szCs w:val="21"/>
        </w:rPr>
        <w:t>注：</w:t>
      </w:r>
      <w:r>
        <w:rPr>
          <w:rFonts w:ascii="仿宋_GB2312" w:eastAsia="仿宋_GB2312"/>
          <w:szCs w:val="21"/>
          <w:lang w:bidi="ar"/>
        </w:rPr>
        <w:t>表中带[ ]数据为5年累计值</w:t>
      </w:r>
      <w:r>
        <w:rPr>
          <w:rFonts w:hint="eastAsia" w:ascii="仿宋_GB2312" w:eastAsia="仿宋_GB2312"/>
          <w:szCs w:val="21"/>
          <w:lang w:bidi="ar"/>
        </w:rPr>
        <w:t>、带{ }数据为5年均值</w:t>
      </w:r>
      <w:r>
        <w:rPr>
          <w:rFonts w:ascii="仿宋_GB2312" w:eastAsia="仿宋_GB2312"/>
          <w:szCs w:val="21"/>
          <w:lang w:bidi="ar"/>
        </w:rPr>
        <w:t>。</w:t>
      </w:r>
    </w:p>
    <w:p>
      <w:pPr>
        <w:spacing w:line="400" w:lineRule="exact"/>
        <w:ind w:firstLine="420"/>
        <w:jc w:val="left"/>
        <w:rPr>
          <w:rFonts w:ascii="仿宋_GB2312" w:eastAsia="仿宋_GB2312"/>
          <w:szCs w:val="21"/>
          <w:lang w:bidi="ar"/>
        </w:rPr>
        <w:sectPr>
          <w:headerReference r:id="rId6" w:type="default"/>
          <w:footerReference r:id="rId7" w:type="default"/>
          <w:pgSz w:w="11906" w:h="16838"/>
          <w:pgMar w:top="1440" w:right="1800" w:bottom="1440" w:left="1800" w:header="851" w:footer="992" w:gutter="0"/>
          <w:cols w:space="425" w:num="1"/>
          <w:docGrid w:type="lines" w:linePitch="312" w:charSpace="0"/>
        </w:sectPr>
      </w:pPr>
    </w:p>
    <w:p>
      <w:pPr>
        <w:spacing w:line="600" w:lineRule="exact"/>
        <w:jc w:val="center"/>
        <w:outlineLvl w:val="0"/>
        <w:rPr>
          <w:rFonts w:ascii="黑体" w:hAnsi="黑体" w:eastAsia="黑体" w:cs="黑体"/>
          <w:sz w:val="40"/>
          <w:szCs w:val="40"/>
          <w:lang w:val="zh-CN"/>
        </w:rPr>
      </w:pPr>
      <w:bookmarkStart w:id="843" w:name="_Toc29321"/>
      <w:bookmarkStart w:id="844" w:name="_Toc9396"/>
      <w:bookmarkStart w:id="845" w:name="_Toc5183"/>
      <w:bookmarkStart w:id="846" w:name="_Toc27734"/>
      <w:bookmarkStart w:id="847" w:name="_Toc30117"/>
      <w:bookmarkStart w:id="848" w:name="_Toc7281"/>
      <w:bookmarkStart w:id="849" w:name="_Toc1529"/>
      <w:bookmarkStart w:id="850" w:name="_Toc5770"/>
      <w:bookmarkStart w:id="851" w:name="_Toc7344"/>
      <w:bookmarkStart w:id="852" w:name="_Toc24607"/>
      <w:bookmarkStart w:id="853" w:name="_Toc17318"/>
      <w:bookmarkStart w:id="854" w:name="_Toc21324"/>
      <w:bookmarkStart w:id="855" w:name="_Toc2700"/>
      <w:bookmarkStart w:id="856" w:name="_Toc15771"/>
      <w:bookmarkStart w:id="857" w:name="_Toc8620"/>
      <w:bookmarkStart w:id="858" w:name="_Toc20382"/>
      <w:bookmarkStart w:id="859" w:name="_Toc20512"/>
      <w:bookmarkStart w:id="860" w:name="_Toc27691"/>
      <w:bookmarkStart w:id="861" w:name="_Toc16171"/>
      <w:bookmarkStart w:id="862" w:name="_Toc4967"/>
      <w:bookmarkStart w:id="863" w:name="_Toc11840"/>
      <w:bookmarkStart w:id="864" w:name="_Toc12696"/>
      <w:bookmarkStart w:id="865" w:name="_Toc3348"/>
      <w:bookmarkStart w:id="866" w:name="_Toc10978"/>
      <w:bookmarkStart w:id="867" w:name="_Toc1028"/>
      <w:bookmarkStart w:id="868" w:name="_Toc16307"/>
      <w:bookmarkStart w:id="869" w:name="_Toc32536"/>
      <w:bookmarkStart w:id="870" w:name="_Toc8219"/>
      <w:bookmarkStart w:id="871" w:name="_Toc20753"/>
      <w:bookmarkStart w:id="872" w:name="_Toc30011"/>
      <w:bookmarkStart w:id="873" w:name="_Toc31610"/>
      <w:bookmarkStart w:id="874" w:name="_Toc15139"/>
      <w:bookmarkStart w:id="875" w:name="_Toc7381"/>
      <w:bookmarkStart w:id="876" w:name="_Toc31249"/>
      <w:bookmarkStart w:id="877" w:name="_Toc19417"/>
      <w:bookmarkStart w:id="878" w:name="_Toc21066"/>
      <w:bookmarkStart w:id="879" w:name="_Toc25360"/>
      <w:bookmarkStart w:id="880" w:name="_Toc1908"/>
      <w:bookmarkStart w:id="881" w:name="_Toc20560"/>
      <w:bookmarkStart w:id="882" w:name="_Toc23363"/>
      <w:bookmarkStart w:id="883" w:name="_Toc31543"/>
      <w:bookmarkStart w:id="884" w:name="_Toc13800"/>
      <w:bookmarkStart w:id="885" w:name="_Toc11214"/>
      <w:bookmarkStart w:id="886" w:name="_Toc8503"/>
      <w:bookmarkStart w:id="887" w:name="_Toc25023"/>
      <w:bookmarkStart w:id="888" w:name="_Toc9801"/>
      <w:bookmarkStart w:id="889" w:name="_Toc3290"/>
      <w:bookmarkStart w:id="890" w:name="_Toc19256"/>
      <w:bookmarkStart w:id="891" w:name="_Toc6155"/>
      <w:bookmarkStart w:id="892" w:name="_Toc11295"/>
      <w:bookmarkStart w:id="893" w:name="_Toc4460"/>
      <w:bookmarkStart w:id="894" w:name="_Toc22482"/>
      <w:r>
        <w:rPr>
          <w:rFonts w:hint="eastAsia" w:ascii="黑体" w:hAnsi="黑体" w:eastAsia="黑体" w:cs="黑体"/>
          <w:sz w:val="40"/>
          <w:szCs w:val="40"/>
          <w:lang w:val="zh-CN"/>
        </w:rPr>
        <w:t>第二篇</w:t>
      </w:r>
      <w:r>
        <w:rPr>
          <w:rFonts w:ascii="黑体" w:hAnsi="黑体" w:eastAsia="黑体" w:cs="黑体"/>
          <w:sz w:val="40"/>
          <w:szCs w:val="40"/>
          <w:lang w:val="zh-CN"/>
        </w:rPr>
        <w:t xml:space="preserve"> </w:t>
      </w:r>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r>
        <w:rPr>
          <w:rFonts w:hint="eastAsia" w:ascii="黑体" w:hAnsi="黑体" w:eastAsia="黑体" w:cs="黑体"/>
          <w:sz w:val="40"/>
          <w:szCs w:val="40"/>
          <w:lang w:val="zh-CN"/>
        </w:rPr>
        <w:t>新时代推动深圳经济特区改革开放</w:t>
      </w:r>
      <w:bookmarkEnd w:id="875"/>
      <w:bookmarkEnd w:id="876"/>
      <w:bookmarkEnd w:id="877"/>
      <w:bookmarkEnd w:id="878"/>
      <w:bookmarkEnd w:id="879"/>
      <w:bookmarkEnd w:id="880"/>
      <w:bookmarkEnd w:id="881"/>
      <w:bookmarkEnd w:id="882"/>
      <w:bookmarkEnd w:id="883"/>
      <w:bookmarkStart w:id="895" w:name="_Toc12068"/>
      <w:bookmarkStart w:id="896" w:name="_Toc27262"/>
      <w:bookmarkStart w:id="897" w:name="_Toc17094"/>
      <w:bookmarkStart w:id="898" w:name="_Toc3138"/>
      <w:bookmarkStart w:id="899" w:name="_Toc11877"/>
      <w:bookmarkStart w:id="900" w:name="_Toc31430"/>
      <w:bookmarkStart w:id="901" w:name="_Toc4264"/>
      <w:bookmarkStart w:id="902" w:name="_Toc29979"/>
      <w:bookmarkStart w:id="903" w:name="_Toc9175"/>
      <w:r>
        <w:rPr>
          <w:rFonts w:hint="eastAsia" w:ascii="黑体" w:hAnsi="黑体" w:eastAsia="黑体" w:cs="黑体"/>
          <w:sz w:val="40"/>
          <w:szCs w:val="40"/>
          <w:lang w:val="zh-CN"/>
        </w:rPr>
        <w:br w:type="textWrapping"/>
      </w:r>
      <w:r>
        <w:rPr>
          <w:rFonts w:hint="eastAsia" w:ascii="黑体" w:hAnsi="黑体" w:eastAsia="黑体" w:cs="黑体"/>
          <w:sz w:val="40"/>
          <w:szCs w:val="40"/>
          <w:lang w:val="zh-CN"/>
        </w:rPr>
        <w:t>再出发</w:t>
      </w:r>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p>
    <w:p>
      <w:pPr>
        <w:spacing w:line="600" w:lineRule="exact"/>
        <w:rPr>
          <w:lang w:val="zh-CN"/>
        </w:rPr>
      </w:pPr>
    </w:p>
    <w:p>
      <w:pPr>
        <w:overflowPunct w:val="0"/>
        <w:autoSpaceDE w:val="0"/>
        <w:adjustRightInd w:val="0"/>
        <w:snapToGrid w:val="0"/>
        <w:spacing w:line="60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坚持改革不停顿、开放不止步，以综合改革试点牵引战略战役性改革，着力深化重要领域和关键环节改革，推进规则标准等制度型开放，</w:t>
      </w:r>
      <w:r>
        <w:rPr>
          <w:rFonts w:hint="eastAsia" w:ascii="仿宋_GB2312" w:hAnsi="宋体" w:eastAsia="仿宋_GB2312"/>
          <w:color w:val="000000" w:themeColor="text1"/>
          <w:sz w:val="32"/>
          <w:szCs w:val="32"/>
          <w14:textFill>
            <w14:solidFill>
              <w14:schemeClr w14:val="tx1"/>
            </w14:solidFill>
          </w14:textFill>
        </w:rPr>
        <w:t>增强服务国内大循环和联通国内国际双循环的功能，为构建新发展格局先行示范。</w:t>
      </w:r>
    </w:p>
    <w:p>
      <w:pPr>
        <w:spacing w:line="600" w:lineRule="exact"/>
        <w:rPr>
          <w:lang w:val="zh-CN"/>
        </w:rPr>
      </w:pPr>
    </w:p>
    <w:p>
      <w:pPr>
        <w:overflowPunct w:val="0"/>
        <w:spacing w:line="600" w:lineRule="exact"/>
        <w:jc w:val="center"/>
        <w:outlineLvl w:val="1"/>
        <w:rPr>
          <w:rFonts w:ascii="黑体" w:hAnsi="黑体" w:eastAsia="黑体" w:cs="黑体"/>
          <w:sz w:val="36"/>
          <w:szCs w:val="36"/>
        </w:rPr>
      </w:pPr>
      <w:bookmarkStart w:id="904" w:name="_Toc27511"/>
      <w:bookmarkStart w:id="905" w:name="_Toc25849"/>
      <w:bookmarkStart w:id="906" w:name="_Toc12367"/>
      <w:bookmarkStart w:id="907" w:name="_Toc16424"/>
      <w:bookmarkStart w:id="908" w:name="_Toc24970"/>
      <w:bookmarkStart w:id="909" w:name="_Toc15554"/>
      <w:bookmarkStart w:id="910" w:name="_Toc4946"/>
      <w:bookmarkStart w:id="911" w:name="_Toc8110"/>
      <w:bookmarkStart w:id="912" w:name="_Toc26464"/>
      <w:bookmarkStart w:id="913" w:name="_Toc18536"/>
      <w:bookmarkStart w:id="914" w:name="_Toc16573"/>
      <w:bookmarkStart w:id="915" w:name="_Toc24651"/>
      <w:bookmarkStart w:id="916" w:name="_Toc19264"/>
      <w:bookmarkStart w:id="917" w:name="_Toc29194"/>
      <w:bookmarkStart w:id="918" w:name="_Toc16486"/>
      <w:bookmarkStart w:id="919" w:name="_Toc29193"/>
      <w:bookmarkStart w:id="920" w:name="_Toc11271"/>
      <w:bookmarkStart w:id="921" w:name="_Toc31919"/>
      <w:bookmarkStart w:id="922" w:name="_Toc23036"/>
      <w:bookmarkStart w:id="923" w:name="_Toc30457"/>
      <w:bookmarkStart w:id="924" w:name="_Toc1858"/>
      <w:bookmarkStart w:id="925" w:name="_Toc20720"/>
      <w:bookmarkStart w:id="926" w:name="_Toc22667"/>
      <w:bookmarkStart w:id="927" w:name="_Toc19606"/>
      <w:bookmarkStart w:id="928" w:name="_Toc2111"/>
      <w:bookmarkStart w:id="929" w:name="_Toc4555"/>
      <w:bookmarkStart w:id="930" w:name="_Toc3256"/>
      <w:bookmarkStart w:id="931" w:name="_Toc12499"/>
      <w:bookmarkStart w:id="932" w:name="_Toc23844"/>
      <w:bookmarkStart w:id="933" w:name="_Toc8801"/>
      <w:bookmarkStart w:id="934" w:name="_Toc3540"/>
      <w:bookmarkStart w:id="935" w:name="_Toc32180"/>
      <w:bookmarkStart w:id="936" w:name="_Toc31842"/>
      <w:bookmarkStart w:id="937" w:name="_Toc17505"/>
      <w:bookmarkStart w:id="938" w:name="_Toc23083"/>
      <w:bookmarkStart w:id="939" w:name="_Toc11746"/>
      <w:bookmarkStart w:id="940" w:name="_Toc18469"/>
      <w:bookmarkStart w:id="941" w:name="_Toc5883"/>
      <w:bookmarkStart w:id="942" w:name="_Toc16870"/>
      <w:bookmarkStart w:id="943" w:name="_Toc9210"/>
      <w:bookmarkStart w:id="944" w:name="_Toc24819"/>
      <w:bookmarkStart w:id="945" w:name="_Toc6981"/>
      <w:bookmarkStart w:id="946" w:name="_Toc7429"/>
      <w:bookmarkStart w:id="947" w:name="_Toc7878"/>
      <w:bookmarkStart w:id="948" w:name="_Toc26964"/>
      <w:bookmarkStart w:id="949" w:name="_Toc21010"/>
      <w:bookmarkStart w:id="950" w:name="_Toc8221"/>
      <w:bookmarkStart w:id="951" w:name="_Toc6879"/>
      <w:bookmarkStart w:id="952" w:name="_Toc2596"/>
      <w:bookmarkStart w:id="953" w:name="_Toc25146"/>
      <w:bookmarkStart w:id="954" w:name="_Toc29486"/>
      <w:bookmarkStart w:id="955" w:name="_Toc30045"/>
      <w:bookmarkStart w:id="956" w:name="_Toc26187"/>
      <w:bookmarkStart w:id="957" w:name="_Toc22304"/>
      <w:bookmarkStart w:id="958" w:name="_Toc20171"/>
      <w:bookmarkStart w:id="959" w:name="_Toc13398"/>
      <w:bookmarkStart w:id="960" w:name="_Toc23221"/>
      <w:bookmarkStart w:id="961" w:name="_Toc10331"/>
      <w:bookmarkStart w:id="962" w:name="_Toc26008"/>
      <w:bookmarkStart w:id="963" w:name="_Toc29682"/>
      <w:bookmarkStart w:id="964" w:name="_Toc25039"/>
      <w:bookmarkStart w:id="965" w:name="_Toc8437"/>
      <w:bookmarkStart w:id="966" w:name="_Toc3490"/>
      <w:bookmarkStart w:id="967" w:name="_Toc30505"/>
      <w:bookmarkStart w:id="968" w:name="_Toc29076"/>
      <w:bookmarkStart w:id="969" w:name="_Toc5456"/>
      <w:bookmarkStart w:id="970" w:name="_Toc295"/>
      <w:bookmarkStart w:id="971" w:name="_Toc180"/>
      <w:bookmarkStart w:id="972" w:name="_Toc20123"/>
      <w:bookmarkStart w:id="973" w:name="_Toc15120"/>
      <w:bookmarkStart w:id="974" w:name="_Toc9897"/>
      <w:bookmarkStart w:id="975" w:name="_Toc32047"/>
      <w:bookmarkStart w:id="976" w:name="_Toc11712"/>
      <w:r>
        <w:rPr>
          <w:rFonts w:hint="eastAsia" w:ascii="黑体" w:hAnsi="黑体" w:eastAsia="黑体" w:cs="黑体"/>
          <w:sz w:val="36"/>
          <w:szCs w:val="36"/>
        </w:rPr>
        <w:t>第三章 以综合改革试点构筑体制机制新优势</w:t>
      </w:r>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p>
    <w:p>
      <w:pPr>
        <w:pStyle w:val="8"/>
        <w:spacing w:line="600" w:lineRule="exact"/>
      </w:pPr>
    </w:p>
    <w:p>
      <w:pPr>
        <w:overflowPunct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坚持摸着石头过河和加强顶层设计相结合，在重点领域和关键环节改革上形成一系列可复制可推广的重大制度创新成果，促进改革系统集成、协同高效，为全国制度建设作出重要示范。</w:t>
      </w:r>
    </w:p>
    <w:p>
      <w:pPr>
        <w:pStyle w:val="8"/>
        <w:spacing w:line="600" w:lineRule="exact"/>
      </w:pPr>
    </w:p>
    <w:p>
      <w:pPr>
        <w:overflowPunct w:val="0"/>
        <w:spacing w:line="600" w:lineRule="exact"/>
        <w:jc w:val="center"/>
        <w:outlineLvl w:val="2"/>
        <w:rPr>
          <w:rFonts w:ascii="楷体" w:hAnsi="楷体" w:eastAsia="楷体" w:cs="楷体"/>
          <w:b/>
          <w:bCs/>
          <w:sz w:val="32"/>
          <w:szCs w:val="32"/>
        </w:rPr>
      </w:pPr>
      <w:bookmarkStart w:id="977" w:name="_Toc4050"/>
      <w:bookmarkStart w:id="978" w:name="_Toc21244"/>
      <w:bookmarkStart w:id="979" w:name="_Toc29298"/>
      <w:bookmarkStart w:id="980" w:name="_Toc21831"/>
      <w:bookmarkStart w:id="981" w:name="_Toc19540"/>
      <w:bookmarkStart w:id="982" w:name="_Toc457"/>
      <w:bookmarkStart w:id="983" w:name="_Toc22989"/>
      <w:bookmarkStart w:id="984" w:name="_Toc5712"/>
      <w:bookmarkStart w:id="985" w:name="_Toc17585"/>
      <w:bookmarkStart w:id="986" w:name="_Toc27165"/>
      <w:bookmarkStart w:id="987" w:name="_Toc18616"/>
      <w:bookmarkStart w:id="988" w:name="_Toc2125"/>
      <w:bookmarkStart w:id="989" w:name="_Toc10651"/>
      <w:bookmarkStart w:id="990" w:name="_Toc10487"/>
      <w:bookmarkStart w:id="991" w:name="_Toc6495"/>
      <w:bookmarkStart w:id="992" w:name="_Toc14485"/>
      <w:bookmarkStart w:id="993" w:name="_Toc27452"/>
      <w:bookmarkStart w:id="994" w:name="_Toc17826"/>
      <w:bookmarkStart w:id="995" w:name="_Toc22259"/>
      <w:bookmarkStart w:id="996" w:name="_Toc10988"/>
      <w:bookmarkStart w:id="997" w:name="_Toc1870"/>
      <w:bookmarkStart w:id="998" w:name="_Toc23544"/>
      <w:bookmarkStart w:id="999" w:name="_Toc11367"/>
      <w:bookmarkStart w:id="1000" w:name="_Toc10581"/>
      <w:bookmarkStart w:id="1001" w:name="_Toc10269"/>
      <w:bookmarkStart w:id="1002" w:name="_Toc1885"/>
      <w:bookmarkStart w:id="1003" w:name="_Toc23492"/>
      <w:bookmarkStart w:id="1004" w:name="_Toc14437"/>
      <w:bookmarkStart w:id="1005" w:name="_Toc490"/>
      <w:bookmarkStart w:id="1006" w:name="_Toc14829"/>
      <w:bookmarkStart w:id="1007" w:name="_Toc30724"/>
      <w:bookmarkStart w:id="1008" w:name="_Toc2505"/>
      <w:bookmarkStart w:id="1009" w:name="_Toc23244"/>
      <w:bookmarkStart w:id="1010" w:name="_Toc14254"/>
      <w:bookmarkStart w:id="1011" w:name="_Toc18668"/>
      <w:bookmarkStart w:id="1012" w:name="_Toc32756"/>
      <w:bookmarkStart w:id="1013" w:name="_Toc30884"/>
      <w:bookmarkStart w:id="1014" w:name="_Toc15252"/>
      <w:bookmarkStart w:id="1015" w:name="_Toc6922"/>
      <w:bookmarkStart w:id="1016" w:name="_Toc30644"/>
      <w:bookmarkStart w:id="1017" w:name="_Toc776"/>
      <w:bookmarkStart w:id="1018" w:name="_Toc13703"/>
      <w:bookmarkStart w:id="1019" w:name="_Toc22161"/>
      <w:bookmarkStart w:id="1020" w:name="_Toc30751"/>
      <w:bookmarkStart w:id="1021" w:name="_Toc20936"/>
      <w:bookmarkStart w:id="1022" w:name="_Toc11796"/>
      <w:bookmarkStart w:id="1023" w:name="_Toc19338"/>
      <w:bookmarkStart w:id="1024" w:name="_Toc16952"/>
      <w:bookmarkStart w:id="1025" w:name="_Toc19736"/>
      <w:bookmarkStart w:id="1026" w:name="_Toc8592"/>
      <w:bookmarkStart w:id="1027" w:name="_Toc5940"/>
      <w:bookmarkStart w:id="1028" w:name="_Toc7639"/>
      <w:bookmarkStart w:id="1029" w:name="_Toc29162"/>
      <w:bookmarkStart w:id="1030" w:name="_Toc12961"/>
      <w:bookmarkStart w:id="1031" w:name="_Toc250"/>
      <w:bookmarkStart w:id="1032" w:name="_Toc17232"/>
      <w:bookmarkStart w:id="1033" w:name="_Toc23178"/>
      <w:bookmarkStart w:id="1034" w:name="_Toc6221"/>
      <w:bookmarkStart w:id="1035" w:name="_Toc9041"/>
      <w:bookmarkStart w:id="1036" w:name="_Toc29348"/>
      <w:bookmarkStart w:id="1037" w:name="_Toc12537"/>
      <w:bookmarkStart w:id="1038" w:name="_Toc9079"/>
      <w:bookmarkStart w:id="1039" w:name="_Toc11342"/>
      <w:bookmarkStart w:id="1040" w:name="_Toc3156"/>
      <w:bookmarkStart w:id="1041" w:name="_Toc8520"/>
      <w:bookmarkStart w:id="1042" w:name="_Toc28665"/>
      <w:bookmarkStart w:id="1043" w:name="_Toc16033"/>
      <w:bookmarkStart w:id="1044" w:name="_Toc22607"/>
      <w:bookmarkStart w:id="1045" w:name="_Toc14478"/>
      <w:bookmarkStart w:id="1046" w:name="_Toc23440"/>
      <w:bookmarkStart w:id="1047" w:name="_Toc7224"/>
      <w:bookmarkStart w:id="1048" w:name="_Toc1329"/>
      <w:bookmarkStart w:id="1049" w:name="_Toc16638"/>
      <w:r>
        <w:rPr>
          <w:rFonts w:hint="eastAsia" w:ascii="楷体" w:hAnsi="楷体" w:eastAsia="楷体" w:cs="楷体"/>
          <w:b/>
          <w:bCs/>
          <w:sz w:val="32"/>
          <w:szCs w:val="32"/>
        </w:rPr>
        <w:t>第一节 全面实施</w:t>
      </w:r>
      <w:bookmarkEnd w:id="977"/>
      <w:bookmarkEnd w:id="978"/>
      <w:bookmarkEnd w:id="979"/>
      <w:r>
        <w:rPr>
          <w:rFonts w:hint="eastAsia" w:ascii="楷体" w:hAnsi="楷体" w:eastAsia="楷体" w:cs="楷体"/>
          <w:b/>
          <w:bCs/>
          <w:sz w:val="32"/>
          <w:szCs w:val="32"/>
        </w:rPr>
        <w:t>综合改革试点</w:t>
      </w:r>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p>
    <w:p>
      <w:pPr>
        <w:overflowPunct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构建系统高效的综合改革试点推进机制。</w:t>
      </w:r>
      <w:r>
        <w:rPr>
          <w:rFonts w:hint="eastAsia" w:ascii="仿宋_GB2312" w:hAnsi="仿宋_GB2312" w:eastAsia="仿宋_GB2312" w:cs="仿宋_GB2312"/>
          <w:sz w:val="32"/>
          <w:szCs w:val="32"/>
        </w:rPr>
        <w:t>着眼于解决高质量发展中遇到的实际问题，着眼于建设更高水平的社会主义市场经济体制需要，加快完善综合改革试点政策储备、批量授权、滚动推进等机制，多推动创造型、引领型改革。建立健全与综合改革试点相配套的法律法规、政策调整机制，构建重大风险识别及系统性风险防范制度和政策体系。健全改革的正向激励机制，形成更加科学、灵活、差异化的考核评价体系。围绕行政审批、科技创新、规划管理、综合监管等领域争取实现更多省级经济社会管理权限，推动探索管理权限负面清单模式。加强与粤港澳大湾区其他城市的协调合作，建立区域互动、优势互补的改革联动机制。</w:t>
      </w:r>
    </w:p>
    <w:p>
      <w:pPr>
        <w:overflowPunct w:val="0"/>
        <w:spacing w:after="156" w:afterLines="50"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加快重点领域改革。</w:t>
      </w:r>
      <w:r>
        <w:rPr>
          <w:rFonts w:hint="eastAsia" w:ascii="仿宋_GB2312" w:hAnsi="仿宋_GB2312" w:eastAsia="仿宋_GB2312" w:cs="仿宋_GB2312"/>
          <w:sz w:val="32"/>
          <w:szCs w:val="32"/>
        </w:rPr>
        <w:t>围绕国家所需、针对问题所在、畅通机制所束、体现深圳所能，系统谋划实施综合改革试点授权事项清单。在完善要素市场化配置体制机制、创新链产业链融合发展体制机制、市场化法治化国际化营商环境、高水平开放型经济体制、民生服务供给体制、生态环境和城市空间治理体制等重点领域先行先试，推出有引领性、突破性的改革政策。加强改革前瞻性研究，拓展政策空间，提升制度张力。到2025年，基本完成试点改革任务，为全国制度建设作出重要示范。</w:t>
      </w:r>
    </w:p>
    <w:tbl>
      <w:tblPr>
        <w:tblStyle w:val="28"/>
        <w:tblW w:w="8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8018" w:type="dxa"/>
            <w:shd w:val="clear" w:color="auto" w:fill="auto"/>
            <w:vAlign w:val="center"/>
          </w:tcPr>
          <w:p>
            <w:pPr>
              <w:pStyle w:val="43"/>
              <w:overflowPunct w:val="0"/>
              <w:adjustRightInd w:val="0"/>
              <w:snapToGrid w:val="0"/>
              <w:spacing w:line="400" w:lineRule="exact"/>
              <w:ind w:firstLine="0" w:firstLineChars="0"/>
              <w:jc w:val="center"/>
              <w:rPr>
                <w:rFonts w:ascii="宋体" w:hAnsi="宋体" w:cs="宋体"/>
                <w:b/>
                <w:color w:val="000000"/>
                <w:sz w:val="24"/>
                <w:lang w:val="zh-CN"/>
              </w:rPr>
            </w:pPr>
            <w:r>
              <w:rPr>
                <w:rFonts w:hint="eastAsia" w:ascii="宋体" w:hAnsi="宋体" w:cs="宋体"/>
                <w:b/>
                <w:color w:val="000000"/>
                <w:sz w:val="24"/>
                <w:lang w:val="zh-CN"/>
              </w:rPr>
              <w:t>专栏</w:t>
            </w:r>
            <w:r>
              <w:rPr>
                <w:rFonts w:hint="eastAsia" w:ascii="宋体" w:hAnsi="宋体" w:cs="宋体"/>
                <w:b/>
                <w:color w:val="000000"/>
                <w:sz w:val="24"/>
              </w:rPr>
              <w:t>2</w:t>
            </w:r>
            <w:r>
              <w:rPr>
                <w:rFonts w:hint="eastAsia" w:ascii="宋体" w:hAnsi="宋体" w:cs="宋体"/>
                <w:b/>
                <w:color w:val="000000"/>
                <w:sz w:val="24"/>
                <w:lang w:val="zh-CN"/>
              </w:rPr>
              <w:t>：综合改革试点重点领域</w:t>
            </w:r>
          </w:p>
          <w:p>
            <w:pPr>
              <w:pStyle w:val="43"/>
              <w:numPr>
                <w:ilvl w:val="0"/>
                <w:numId w:val="1"/>
              </w:numPr>
              <w:overflowPunct w:val="0"/>
              <w:adjustRightInd w:val="0"/>
              <w:snapToGrid w:val="0"/>
              <w:spacing w:line="400" w:lineRule="exact"/>
              <w:ind w:firstLineChars="0"/>
              <w:rPr>
                <w:rFonts w:ascii="宋体" w:hAnsi="宋体" w:cs="宋体"/>
                <w:bCs/>
                <w:color w:val="000000"/>
                <w:sz w:val="24"/>
                <w:lang w:val="zh-CN"/>
              </w:rPr>
            </w:pPr>
            <w:r>
              <w:rPr>
                <w:rFonts w:hint="eastAsia" w:ascii="宋体" w:hAnsi="宋体" w:cs="宋体"/>
                <w:b/>
                <w:color w:val="000000"/>
                <w:sz w:val="24"/>
                <w:lang w:val="zh-CN"/>
              </w:rPr>
              <w:t>完善要素市场化配置体制机制：</w:t>
            </w:r>
            <w:r>
              <w:rPr>
                <w:rFonts w:hint="eastAsia" w:ascii="宋体" w:hAnsi="宋体" w:cs="宋体"/>
                <w:bCs/>
                <w:color w:val="000000"/>
                <w:sz w:val="24"/>
                <w:lang w:val="zh-CN"/>
              </w:rPr>
              <w:t>探索利用存量建设用地进行开发建设的市场化机制，完善闲置土地使用权收回机制。完善自然资源资产交易及监管机制，开展土地二级市场预告登记转让制度试点。探索政府资助项目科技成果专利权向发明人或设计人、中小企业转让和利益分配机制，健全国有企业科研成果转化利益分配机制。推进资本市场改革，恢复深交所主板上市功能，推出深市股票股指期货，不断丰富股票股指期货产品体系。开展数据生产要素统计核算试点。</w:t>
            </w:r>
          </w:p>
          <w:p>
            <w:pPr>
              <w:pStyle w:val="43"/>
              <w:numPr>
                <w:ilvl w:val="0"/>
                <w:numId w:val="1"/>
              </w:numPr>
              <w:overflowPunct w:val="0"/>
              <w:adjustRightInd w:val="0"/>
              <w:snapToGrid w:val="0"/>
              <w:spacing w:line="400" w:lineRule="exact"/>
              <w:ind w:firstLineChars="0"/>
              <w:rPr>
                <w:rFonts w:ascii="宋体" w:hAnsi="宋体" w:cs="宋体"/>
                <w:bCs/>
                <w:color w:val="000000"/>
                <w:sz w:val="24"/>
                <w:lang w:val="zh-CN"/>
              </w:rPr>
            </w:pPr>
            <w:r>
              <w:rPr>
                <w:rFonts w:hint="eastAsia" w:ascii="宋体" w:hAnsi="宋体" w:cs="宋体"/>
                <w:b/>
                <w:color w:val="000000"/>
                <w:sz w:val="24"/>
                <w:lang w:val="zh-CN"/>
              </w:rPr>
              <w:t>打造市场化法治化国际化营商环境：</w:t>
            </w:r>
            <w:r>
              <w:rPr>
                <w:rFonts w:hint="eastAsia" w:ascii="宋体" w:hAnsi="宋体" w:cs="宋体"/>
                <w:bCs/>
                <w:color w:val="000000"/>
                <w:sz w:val="24"/>
                <w:lang w:val="zh-CN"/>
              </w:rPr>
              <w:t>进一步完善公平开放的市场环境，完善经营邮政通信业务审批机制，分类分步放开通信行业，试点能源领域许可审批告知承诺制。深化知识产权保护工作体制机制改革，强化知识产权全链条保护，实施知识产权领域以信用为基础的分级分类监管。完善行政管理体制和经济特区立法。持续推进工程建设项目审批制度改革，探索建立“一站式”审批服务模式。</w:t>
            </w:r>
          </w:p>
          <w:p>
            <w:pPr>
              <w:pStyle w:val="43"/>
              <w:numPr>
                <w:ilvl w:val="0"/>
                <w:numId w:val="1"/>
              </w:numPr>
              <w:overflowPunct w:val="0"/>
              <w:adjustRightInd w:val="0"/>
              <w:snapToGrid w:val="0"/>
              <w:spacing w:line="400" w:lineRule="exact"/>
              <w:ind w:firstLineChars="0"/>
              <w:rPr>
                <w:rFonts w:ascii="宋体" w:hAnsi="宋体" w:cs="宋体"/>
                <w:bCs/>
                <w:color w:val="000000"/>
                <w:sz w:val="24"/>
                <w:lang w:val="zh-CN"/>
              </w:rPr>
            </w:pPr>
            <w:r>
              <w:rPr>
                <w:rFonts w:hint="eastAsia" w:ascii="宋体" w:hAnsi="宋体" w:cs="宋体"/>
                <w:b/>
                <w:color w:val="000000"/>
                <w:sz w:val="24"/>
                <w:lang w:val="zh-CN"/>
              </w:rPr>
              <w:t>完善科技创新环境制度：</w:t>
            </w:r>
            <w:r>
              <w:rPr>
                <w:rFonts w:hint="eastAsia" w:ascii="宋体" w:hAnsi="宋体" w:cs="宋体"/>
                <w:bCs/>
                <w:color w:val="000000"/>
                <w:sz w:val="24"/>
                <w:lang w:val="zh-CN"/>
              </w:rPr>
              <w:t>优化创新资源配置方式和管理机制，探索完善大科学计划管理机制，优化科研机构技术转移机制，完善金融支持科技创新的体制机制。建立具有国际竞争力的引才用才制度，探索制定外籍“高精尖缺”人才认定标准，为符合条件的外籍人员办理</w:t>
            </w:r>
            <w:r>
              <w:rPr>
                <w:rFonts w:hint="eastAsia" w:ascii="宋体" w:hAnsi="宋体" w:cs="宋体"/>
                <w:bCs/>
                <w:color w:val="000000"/>
                <w:sz w:val="24"/>
              </w:rPr>
              <w:t>R字签证和提供出入境便利，为符合条件的外籍高层次人才申请永久居留提供便利。放宽除医疗卫生人员以外境外人员参加各类职业资格考试的限制。</w:t>
            </w:r>
          </w:p>
          <w:p>
            <w:pPr>
              <w:pStyle w:val="43"/>
              <w:numPr>
                <w:ilvl w:val="0"/>
                <w:numId w:val="1"/>
              </w:numPr>
              <w:overflowPunct w:val="0"/>
              <w:adjustRightInd w:val="0"/>
              <w:snapToGrid w:val="0"/>
              <w:spacing w:line="400" w:lineRule="exact"/>
              <w:ind w:firstLineChars="0"/>
              <w:rPr>
                <w:rFonts w:ascii="宋体" w:hAnsi="宋体" w:cs="宋体"/>
                <w:bCs/>
                <w:color w:val="000000"/>
                <w:sz w:val="24"/>
                <w:lang w:val="zh-CN"/>
              </w:rPr>
            </w:pPr>
            <w:r>
              <w:rPr>
                <w:rFonts w:hint="eastAsia" w:ascii="宋体" w:hAnsi="宋体" w:cs="宋体"/>
                <w:b/>
                <w:color w:val="000000"/>
                <w:sz w:val="24"/>
                <w:lang w:val="zh-CN"/>
              </w:rPr>
              <w:t>完善高水平开放型经济体制：</w:t>
            </w:r>
            <w:r>
              <w:rPr>
                <w:rFonts w:hint="eastAsia" w:ascii="宋体" w:hAnsi="宋体" w:cs="宋体"/>
                <w:bCs/>
                <w:color w:val="000000"/>
                <w:sz w:val="24"/>
                <w:lang w:val="zh-CN"/>
              </w:rPr>
              <w:t>加大制度型开放力度，以规则衔接深化粤港澳大湾区合作发展。加大对疑难涉外商事案件的业务指导，完善法治领域跨境协作机制。扩大金融业、航运业等对外开放，支持符合条件的在深境内企业赴境外上市融资，支持符合条件的外资机构在深圳依法合规获取支付业务许可证。推动构建与国际接轨的金融规则体系。</w:t>
            </w:r>
          </w:p>
          <w:p>
            <w:pPr>
              <w:pStyle w:val="43"/>
              <w:numPr>
                <w:ilvl w:val="0"/>
                <w:numId w:val="1"/>
              </w:numPr>
              <w:overflowPunct w:val="0"/>
              <w:adjustRightInd w:val="0"/>
              <w:snapToGrid w:val="0"/>
              <w:spacing w:line="400" w:lineRule="exact"/>
              <w:ind w:firstLineChars="0"/>
              <w:rPr>
                <w:rFonts w:ascii="宋体" w:hAnsi="宋体" w:cs="宋体"/>
                <w:bCs/>
                <w:color w:val="000000"/>
                <w:sz w:val="24"/>
                <w:lang w:val="zh-CN"/>
              </w:rPr>
            </w:pPr>
            <w:r>
              <w:rPr>
                <w:rFonts w:hint="eastAsia" w:ascii="宋体" w:hAnsi="宋体" w:cs="宋体"/>
                <w:b/>
                <w:color w:val="000000"/>
                <w:sz w:val="24"/>
                <w:lang w:val="zh-CN"/>
              </w:rPr>
              <w:t>完善民生服务供给体制：</w:t>
            </w:r>
            <w:r>
              <w:rPr>
                <w:rFonts w:hint="eastAsia" w:ascii="宋体" w:hAnsi="宋体" w:cs="宋体"/>
                <w:bCs/>
                <w:color w:val="000000"/>
                <w:sz w:val="24"/>
                <w:lang w:val="zh-CN"/>
              </w:rPr>
              <w:t>创新医疗服务体系和医保制度，推进医疗服务跨境衔接。完善保障性住房供给机制。优化社会保障机制，探索公共服务多元化供给新机制，利用全国一体化政务服务平台实现医保政务服务一体化办理。完善文化体育运营管理体制。扩大企业博士后站办学自主权。</w:t>
            </w:r>
          </w:p>
          <w:p>
            <w:pPr>
              <w:pStyle w:val="43"/>
              <w:numPr>
                <w:ilvl w:val="0"/>
                <w:numId w:val="1"/>
              </w:numPr>
              <w:overflowPunct w:val="0"/>
              <w:adjustRightInd w:val="0"/>
              <w:snapToGrid w:val="0"/>
              <w:spacing w:line="400" w:lineRule="exact"/>
              <w:ind w:firstLineChars="0"/>
              <w:rPr>
                <w:rFonts w:ascii="宋体" w:hAnsi="宋体" w:cs="宋体"/>
                <w:b/>
                <w:color w:val="000000"/>
                <w:sz w:val="24"/>
                <w:lang w:val="zh-CN"/>
              </w:rPr>
            </w:pPr>
            <w:r>
              <w:rPr>
                <w:rFonts w:hint="eastAsia" w:ascii="宋体" w:hAnsi="宋体" w:cs="宋体"/>
                <w:b/>
                <w:color w:val="000000"/>
                <w:sz w:val="24"/>
                <w:lang w:val="zh-CN"/>
              </w:rPr>
              <w:t>完善生态环境和城市空间治理体制：</w:t>
            </w:r>
            <w:r>
              <w:rPr>
                <w:rFonts w:hint="eastAsia" w:ascii="宋体" w:hAnsi="宋体" w:cs="宋体"/>
                <w:bCs/>
                <w:color w:val="000000"/>
                <w:sz w:val="24"/>
                <w:lang w:val="zh-CN"/>
              </w:rPr>
              <w:t>健全生态建设和环境保护制度，实施环评制度改革。探索按照海域的水面、水体、海底、底土分别设立使用权。提升城市空间统筹管理水平，优化用地用林用海“统一收文、统一办理、统一发文”审批机制，加快实现“多审合一、多证合一”。开展航空资源结构化改革试点，完善无人机飞行管理制度。</w:t>
            </w:r>
          </w:p>
        </w:tc>
      </w:tr>
    </w:tbl>
    <w:p>
      <w:pPr>
        <w:spacing w:line="600" w:lineRule="exact"/>
        <w:rPr>
          <w:rFonts w:ascii="仿宋_GB2312" w:hAnsi="仿宋_GB2312" w:eastAsia="仿宋_GB2312" w:cs="仿宋_GB2312"/>
        </w:rPr>
      </w:pPr>
    </w:p>
    <w:p>
      <w:pPr>
        <w:overflowPunct w:val="0"/>
        <w:spacing w:line="600" w:lineRule="exact"/>
        <w:jc w:val="center"/>
        <w:outlineLvl w:val="2"/>
        <w:rPr>
          <w:rFonts w:ascii="楷体" w:hAnsi="楷体" w:eastAsia="楷体" w:cs="楷体"/>
          <w:b/>
          <w:bCs/>
          <w:sz w:val="32"/>
          <w:szCs w:val="32"/>
        </w:rPr>
      </w:pPr>
      <w:bookmarkStart w:id="1050" w:name="_Toc21681"/>
      <w:bookmarkStart w:id="1051" w:name="_Toc25336"/>
      <w:bookmarkStart w:id="1052" w:name="_Toc2651"/>
      <w:bookmarkStart w:id="1053" w:name="_Toc31836"/>
      <w:bookmarkStart w:id="1054" w:name="_Toc27849"/>
      <w:bookmarkStart w:id="1055" w:name="_Toc21857"/>
      <w:bookmarkStart w:id="1056" w:name="_Toc4149"/>
      <w:bookmarkStart w:id="1057" w:name="_Toc28958"/>
      <w:bookmarkStart w:id="1058" w:name="_Toc2376"/>
      <w:bookmarkStart w:id="1059" w:name="_Toc26337"/>
      <w:bookmarkStart w:id="1060" w:name="_Toc1101"/>
      <w:bookmarkStart w:id="1061" w:name="_Toc2756"/>
      <w:bookmarkStart w:id="1062" w:name="_Toc3830"/>
      <w:bookmarkStart w:id="1063" w:name="_Toc22444"/>
      <w:bookmarkStart w:id="1064" w:name="_Toc22026"/>
      <w:bookmarkStart w:id="1065" w:name="_Toc83"/>
      <w:bookmarkStart w:id="1066" w:name="_Toc25281"/>
      <w:bookmarkStart w:id="1067" w:name="_Toc2213"/>
      <w:bookmarkStart w:id="1068" w:name="_Toc22923"/>
      <w:bookmarkStart w:id="1069" w:name="_Toc5496"/>
      <w:bookmarkStart w:id="1070" w:name="_Toc20186"/>
      <w:bookmarkStart w:id="1071" w:name="_Toc8898"/>
      <w:bookmarkStart w:id="1072" w:name="_Toc13771"/>
      <w:bookmarkStart w:id="1073" w:name="_Toc5095"/>
      <w:bookmarkStart w:id="1074" w:name="_Toc18908"/>
      <w:bookmarkStart w:id="1075" w:name="_Toc4375"/>
      <w:bookmarkStart w:id="1076" w:name="_Toc22869"/>
      <w:bookmarkStart w:id="1077" w:name="_Toc22265"/>
      <w:bookmarkStart w:id="1078" w:name="_Toc26104"/>
      <w:bookmarkStart w:id="1079" w:name="_Toc19217"/>
      <w:bookmarkStart w:id="1080" w:name="_Toc9978"/>
      <w:bookmarkStart w:id="1081" w:name="_Toc16170"/>
      <w:bookmarkStart w:id="1082" w:name="_Toc2526"/>
      <w:bookmarkStart w:id="1083" w:name="_Toc31971"/>
      <w:bookmarkStart w:id="1084" w:name="_Toc1264"/>
      <w:bookmarkStart w:id="1085" w:name="_Toc32003"/>
      <w:bookmarkStart w:id="1086" w:name="_Toc19999"/>
      <w:bookmarkStart w:id="1087" w:name="_Toc4351"/>
      <w:bookmarkStart w:id="1088" w:name="_Toc23736"/>
      <w:bookmarkStart w:id="1089" w:name="_Toc30655"/>
      <w:bookmarkStart w:id="1090" w:name="_Toc21498"/>
      <w:bookmarkStart w:id="1091" w:name="_Toc13005"/>
      <w:bookmarkStart w:id="1092" w:name="_Toc11131"/>
      <w:bookmarkStart w:id="1093" w:name="_Toc14637"/>
      <w:bookmarkStart w:id="1094" w:name="_Toc9432"/>
      <w:bookmarkStart w:id="1095" w:name="_Toc28543"/>
      <w:bookmarkStart w:id="1096" w:name="_Toc9453"/>
      <w:bookmarkStart w:id="1097" w:name="_Toc16360"/>
      <w:bookmarkStart w:id="1098" w:name="_Toc21188"/>
      <w:bookmarkStart w:id="1099" w:name="_Toc18832"/>
      <w:bookmarkStart w:id="1100" w:name="_Toc24981"/>
      <w:bookmarkStart w:id="1101" w:name="_Toc19587"/>
      <w:bookmarkStart w:id="1102" w:name="_Toc2473"/>
      <w:bookmarkStart w:id="1103" w:name="_Toc16135"/>
      <w:bookmarkStart w:id="1104" w:name="_Toc18056"/>
      <w:bookmarkStart w:id="1105" w:name="_Toc9930"/>
      <w:bookmarkStart w:id="1106" w:name="_Toc22109"/>
      <w:bookmarkStart w:id="1107" w:name="_Toc6241"/>
      <w:bookmarkStart w:id="1108" w:name="_Toc1682"/>
      <w:bookmarkStart w:id="1109" w:name="_Toc13909"/>
      <w:bookmarkStart w:id="1110" w:name="_Toc67"/>
      <w:bookmarkStart w:id="1111" w:name="_Toc25494"/>
      <w:bookmarkStart w:id="1112" w:name="_Toc30587"/>
      <w:bookmarkStart w:id="1113" w:name="_Toc19381"/>
      <w:bookmarkStart w:id="1114" w:name="_Toc10811"/>
      <w:bookmarkStart w:id="1115" w:name="_Toc1857"/>
      <w:bookmarkStart w:id="1116" w:name="_Toc8102"/>
      <w:bookmarkStart w:id="1117" w:name="_Toc6518"/>
      <w:bookmarkStart w:id="1118" w:name="_Toc31843"/>
      <w:bookmarkStart w:id="1119" w:name="_Toc9320"/>
      <w:bookmarkStart w:id="1120" w:name="_Toc3407"/>
      <w:bookmarkStart w:id="1121" w:name="_Toc646"/>
      <w:bookmarkStart w:id="1122" w:name="_Toc18800"/>
      <w:r>
        <w:rPr>
          <w:rFonts w:hint="eastAsia" w:ascii="楷体" w:hAnsi="楷体" w:eastAsia="楷体" w:cs="楷体"/>
          <w:b/>
          <w:bCs/>
          <w:sz w:val="32"/>
          <w:szCs w:val="32"/>
        </w:rPr>
        <w:t>第二节 完善要素市场化配置</w:t>
      </w:r>
      <w:bookmarkEnd w:id="1050"/>
      <w:bookmarkEnd w:id="1051"/>
      <w:r>
        <w:rPr>
          <w:rFonts w:hint="eastAsia" w:ascii="楷体" w:hAnsi="楷体" w:eastAsia="楷体" w:cs="楷体"/>
          <w:b/>
          <w:bCs/>
          <w:sz w:val="32"/>
          <w:szCs w:val="32"/>
        </w:rPr>
        <w:t>机制</w:t>
      </w:r>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p>
    <w:p>
      <w:pPr>
        <w:widowControl/>
        <w:numPr>
          <w:ilvl w:val="255"/>
          <w:numId w:val="0"/>
        </w:numPr>
        <w:overflowPunct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实施促进人口中长期均衡发展战略。</w:t>
      </w:r>
      <w:r>
        <w:rPr>
          <w:rFonts w:hint="eastAsia" w:ascii="仿宋_GB2312" w:hAnsi="仿宋_GB2312" w:eastAsia="仿宋_GB2312" w:cs="仿宋_GB2312"/>
          <w:sz w:val="32"/>
          <w:szCs w:val="32"/>
        </w:rPr>
        <w:t>实施科学合理、积极有效的人口政策，加强超大型城市人口正向调节，推动人口与产业、城市协调发展，不断创造有利于城市发展的人口总量势能、结构红利和素质资本叠加优势。完善居住证制度，建立以居住地为主的实有人口服务体系，向基本公共服务常住人口全覆盖稳步推进。建设更具灵活性的劳动力市场，完善适应超大城市特点的劳动力流动制度，畅通劳动力流动渠道。完善技能人才评价体系，推进企业技能人才自主评价。开展特殊工时管理改革试点，完善新就业形态劳动者法律保障和社保制度。合理控制中心城区人口密度，深化户籍制度改革，调整完善积分落户政策，推动人口结构优化。到2025年，在册户籍人口超过780万人。</w:t>
      </w:r>
    </w:p>
    <w:p>
      <w:pPr>
        <w:widowControl/>
        <w:numPr>
          <w:ilvl w:val="255"/>
          <w:numId w:val="0"/>
        </w:numPr>
        <w:overflowPunct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深化土地管理制度改革。</w:t>
      </w:r>
      <w:r>
        <w:rPr>
          <w:rFonts w:hint="eastAsia" w:ascii="仿宋_GB2312" w:hAnsi="仿宋_GB2312" w:eastAsia="仿宋_GB2312" w:cs="仿宋_GB2312"/>
          <w:sz w:val="32"/>
          <w:szCs w:val="32"/>
        </w:rPr>
        <w:t>建立不同产业用地类型合理转换和兼容机制，</w:t>
      </w:r>
      <w:r>
        <w:rPr>
          <w:rFonts w:hint="eastAsia" w:ascii="仿宋_GB2312" w:hAnsi="仿宋_GB2312" w:eastAsia="仿宋_GB2312" w:cs="仿宋_GB2312"/>
          <w:bCs/>
          <w:color w:val="000000"/>
          <w:sz w:val="32"/>
          <w:szCs w:val="32"/>
        </w:rPr>
        <w:t>鼓励建设用地功能复合优化，推进二三产业</w:t>
      </w:r>
      <w:r>
        <w:rPr>
          <w:rFonts w:hint="eastAsia" w:ascii="仿宋_GB2312" w:hAnsi="仿宋_GB2312" w:eastAsia="仿宋_GB2312" w:cs="仿宋_GB2312"/>
          <w:sz w:val="32"/>
          <w:szCs w:val="32"/>
        </w:rPr>
        <w:t>混合用地。健全长期租赁、先租后让、弹性年期供应、作价出资（入股）等工业用地市场供应体系，先行先试国有建设用地使用权到期续期制度改革。</w:t>
      </w:r>
      <w:r>
        <w:rPr>
          <w:rFonts w:hint="eastAsia" w:ascii="仿宋_GB2312" w:hAnsi="仿宋_GB2312" w:eastAsia="仿宋_GB2312" w:cs="仿宋_GB2312"/>
          <w:bCs/>
          <w:color w:val="000000"/>
          <w:sz w:val="32"/>
          <w:szCs w:val="32"/>
        </w:rPr>
        <w:t>创新城市低效用地再开发模式</w:t>
      </w:r>
      <w:r>
        <w:rPr>
          <w:rFonts w:hint="eastAsia" w:ascii="仿宋_GB2312" w:hAnsi="仿宋_GB2312" w:eastAsia="仿宋_GB2312" w:cs="仿宋_GB2312"/>
          <w:sz w:val="32"/>
          <w:szCs w:val="32"/>
        </w:rPr>
        <w:t>，探索</w:t>
      </w:r>
      <w:r>
        <w:rPr>
          <w:rFonts w:hint="eastAsia" w:ascii="仿宋_GB2312" w:hAnsi="仿宋_GB2312" w:eastAsia="仿宋_GB2312" w:cs="仿宋_GB2312"/>
          <w:bCs/>
          <w:color w:val="000000"/>
          <w:sz w:val="32"/>
          <w:szCs w:val="32"/>
        </w:rPr>
        <w:t>商业用地与低效工业用地置换，加强政府主导的连片产业空间供给。</w:t>
      </w:r>
      <w:r>
        <w:rPr>
          <w:rFonts w:hint="eastAsia" w:ascii="仿宋_GB2312" w:hAnsi="仿宋_GB2312" w:eastAsia="仿宋_GB2312" w:cs="仿宋_GB2312"/>
          <w:sz w:val="32"/>
          <w:szCs w:val="32"/>
        </w:rPr>
        <w:t>加强城市更新、土地整备和棚户区改造等多种再开发手段的综合运用，稳妥推进历史遗留违法建筑、已批未建地和临时用地处置。</w:t>
      </w:r>
      <w:r>
        <w:rPr>
          <w:rFonts w:hint="eastAsia" w:ascii="仿宋_GB2312" w:hAnsi="仿宋_GB2312" w:eastAsia="仿宋_GB2312" w:cs="仿宋_GB2312"/>
          <w:bCs/>
          <w:color w:val="000000"/>
          <w:sz w:val="32"/>
          <w:szCs w:val="32"/>
        </w:rPr>
        <w:t>推进在建设用地地上、地表和地下分别设立使用权，</w:t>
      </w:r>
      <w:r>
        <w:rPr>
          <w:rFonts w:hint="eastAsia" w:ascii="仿宋_GB2312" w:hAnsi="仿宋_GB2312" w:eastAsia="仿宋_GB2312" w:cs="仿宋_GB2312"/>
          <w:sz w:val="32"/>
          <w:szCs w:val="32"/>
        </w:rPr>
        <w:t>编制3D地下空间规划，引导市政设施隐形化、地下化、一体化建设。到2025年，通过城市更新和土地整备，实现直接供应用地10平方公里、储备用地40平方公里、综合整治用地45平方公里。</w:t>
      </w:r>
    </w:p>
    <w:p>
      <w:pPr>
        <w:overflowPunct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加快发展技术要素市场。</w:t>
      </w:r>
      <w:r>
        <w:rPr>
          <w:rFonts w:hint="eastAsia" w:ascii="仿宋_GB2312" w:hAnsi="仿宋_GB2312" w:eastAsia="仿宋_GB2312" w:cs="仿宋_GB2312"/>
          <w:sz w:val="32"/>
          <w:szCs w:val="32"/>
          <w:lang w:val="zh-CN"/>
        </w:rPr>
        <w:t>推进知识产权注册便利化改革，争取设立专利审查协作分中心。</w:t>
      </w:r>
      <w:r>
        <w:rPr>
          <w:rFonts w:hint="eastAsia" w:ascii="仿宋_GB2312" w:hAnsi="仿宋_GB2312" w:eastAsia="仿宋_GB2312" w:cs="仿宋_GB2312"/>
          <w:sz w:val="32"/>
          <w:szCs w:val="32"/>
        </w:rPr>
        <w:t>加快建设全国性知识产权和科技成果产权交易中心，探索完善知识产权和科技成果产权市场化定价和交易机制。探索开展可大规模复制和推广的知识产权证券化新模式，支持金融机构开展知识产权质押融资和保险业务。建立覆盖交易、评估、咨询、投融资、保险等知识产权运营服务体系，建设涉外专利特区。加强关键领域自主知识产权创造和储备，建设国际知识产权合作平台、高价值专利培育布局中心等。到</w:t>
      </w:r>
      <w:r>
        <w:rPr>
          <w:rFonts w:ascii="仿宋_GB2312" w:hAnsi="仿宋_GB2312" w:eastAsia="仿宋_GB2312" w:cs="仿宋_GB2312"/>
          <w:sz w:val="32"/>
          <w:szCs w:val="32"/>
        </w:rPr>
        <w:t>2025</w:t>
      </w:r>
      <w:r>
        <w:rPr>
          <w:rFonts w:hint="eastAsia" w:ascii="仿宋_GB2312" w:hAnsi="仿宋_GB2312" w:eastAsia="仿宋_GB2312" w:cs="仿宋_GB2312"/>
          <w:sz w:val="32"/>
          <w:szCs w:val="32"/>
        </w:rPr>
        <w:t>年，PCT专利累计申请量达8万件。</w:t>
      </w:r>
    </w:p>
    <w:p>
      <w:pPr>
        <w:overflowPunct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深化价格改革。</w:t>
      </w:r>
      <w:r>
        <w:rPr>
          <w:rFonts w:hint="eastAsia" w:ascii="仿宋_GB2312" w:hAnsi="仿宋_GB2312" w:eastAsia="仿宋_GB2312" w:cs="仿宋_GB2312"/>
          <w:sz w:val="32"/>
          <w:szCs w:val="32"/>
        </w:rPr>
        <w:t>健全主要由市场决定价格的机制，推动政府定价机制由制定具体价格水平向制定定价规则转变。深化重要公用事业、公益性服务、网络型自然垄断环节价格改革，创新和完善促进绿色发展的价格机制。健全价格监测预警机制，做好重要民生商品保供稳价。</w:t>
      </w:r>
    </w:p>
    <w:p>
      <w:pPr>
        <w:pStyle w:val="8"/>
        <w:spacing w:line="600" w:lineRule="exact"/>
        <w:ind w:firstLine="640"/>
        <w:rPr>
          <w:rFonts w:ascii="仿宋_GB2312" w:hAnsi="仿宋_GB2312" w:eastAsia="仿宋_GB2312" w:cs="仿宋_GB2312"/>
          <w:sz w:val="32"/>
          <w:szCs w:val="32"/>
        </w:rPr>
      </w:pPr>
    </w:p>
    <w:p>
      <w:pPr>
        <w:overflowPunct w:val="0"/>
        <w:spacing w:line="600" w:lineRule="exact"/>
        <w:jc w:val="center"/>
        <w:outlineLvl w:val="2"/>
        <w:rPr>
          <w:rFonts w:ascii="仿宋" w:hAnsi="仿宋" w:eastAsia="仿宋" w:cs="仿宋"/>
          <w:b/>
          <w:bCs/>
          <w:sz w:val="32"/>
          <w:szCs w:val="32"/>
        </w:rPr>
      </w:pPr>
      <w:bookmarkStart w:id="1123" w:name="_Toc16024"/>
      <w:bookmarkStart w:id="1124" w:name="_Toc2585"/>
      <w:bookmarkStart w:id="1125" w:name="_Toc18720"/>
      <w:bookmarkStart w:id="1126" w:name="_Toc15166"/>
      <w:bookmarkStart w:id="1127" w:name="_Toc11025"/>
      <w:bookmarkStart w:id="1128" w:name="_Toc16813"/>
      <w:bookmarkStart w:id="1129" w:name="_Toc413"/>
      <w:bookmarkStart w:id="1130" w:name="_Toc21425"/>
      <w:bookmarkStart w:id="1131" w:name="_Toc30468"/>
      <w:bookmarkStart w:id="1132" w:name="_Toc15032"/>
      <w:bookmarkStart w:id="1133" w:name="_Toc15794"/>
      <w:bookmarkStart w:id="1134" w:name="_Toc6650"/>
      <w:bookmarkStart w:id="1135" w:name="_Toc32001"/>
      <w:bookmarkStart w:id="1136" w:name="_Toc31901"/>
      <w:bookmarkStart w:id="1137" w:name="_Toc23973"/>
      <w:bookmarkStart w:id="1138" w:name="_Toc30666"/>
      <w:bookmarkStart w:id="1139" w:name="_Toc13120"/>
      <w:bookmarkStart w:id="1140" w:name="_Toc6656"/>
      <w:bookmarkStart w:id="1141" w:name="_Toc4009"/>
      <w:bookmarkStart w:id="1142" w:name="_Toc14791"/>
      <w:bookmarkStart w:id="1143" w:name="_Toc1256"/>
      <w:bookmarkStart w:id="1144" w:name="_Toc8122"/>
      <w:bookmarkStart w:id="1145" w:name="_Toc8652"/>
      <w:bookmarkStart w:id="1146" w:name="_Toc647"/>
      <w:bookmarkStart w:id="1147" w:name="_Toc32175"/>
      <w:bookmarkStart w:id="1148" w:name="_Toc14933"/>
      <w:bookmarkStart w:id="1149" w:name="_Toc2785"/>
      <w:bookmarkStart w:id="1150" w:name="_Toc20305"/>
      <w:bookmarkStart w:id="1151" w:name="_Toc27256"/>
      <w:bookmarkStart w:id="1152" w:name="_Toc11177"/>
      <w:bookmarkStart w:id="1153" w:name="_Toc2023"/>
      <w:bookmarkStart w:id="1154" w:name="_Toc20095"/>
      <w:bookmarkStart w:id="1155" w:name="_Toc13530"/>
      <w:bookmarkStart w:id="1156" w:name="_Toc2501"/>
      <w:bookmarkStart w:id="1157" w:name="_Toc9431"/>
      <w:bookmarkStart w:id="1158" w:name="_Toc3063"/>
      <w:bookmarkStart w:id="1159" w:name="_Toc6273"/>
      <w:bookmarkStart w:id="1160" w:name="_Toc6743"/>
      <w:bookmarkStart w:id="1161" w:name="_Toc10270"/>
      <w:bookmarkStart w:id="1162" w:name="_Toc22621"/>
      <w:bookmarkStart w:id="1163" w:name="_Toc8993"/>
      <w:bookmarkStart w:id="1164" w:name="_Toc25442"/>
      <w:bookmarkStart w:id="1165" w:name="_Toc4344"/>
      <w:bookmarkStart w:id="1166" w:name="_Toc27175"/>
      <w:bookmarkStart w:id="1167" w:name="_Toc27550"/>
      <w:bookmarkStart w:id="1168" w:name="_Toc13721"/>
      <w:bookmarkStart w:id="1169" w:name="_Toc14303"/>
      <w:bookmarkStart w:id="1170" w:name="_Toc27787"/>
      <w:bookmarkStart w:id="1171" w:name="_Toc6028"/>
      <w:bookmarkStart w:id="1172" w:name="_Toc11280"/>
      <w:bookmarkStart w:id="1173" w:name="_Toc17594"/>
      <w:bookmarkStart w:id="1174" w:name="_Toc25969"/>
      <w:bookmarkStart w:id="1175" w:name="_Toc26937"/>
      <w:bookmarkStart w:id="1176" w:name="_Toc25053"/>
      <w:bookmarkStart w:id="1177" w:name="_Toc4663"/>
      <w:bookmarkStart w:id="1178" w:name="_Toc3556"/>
      <w:bookmarkStart w:id="1179" w:name="_Toc11883"/>
      <w:bookmarkStart w:id="1180" w:name="_Toc10807"/>
      <w:bookmarkStart w:id="1181" w:name="_Toc1031"/>
      <w:bookmarkStart w:id="1182" w:name="_Toc14701"/>
      <w:bookmarkStart w:id="1183" w:name="_Toc32123"/>
      <w:bookmarkStart w:id="1184" w:name="_Toc28074"/>
      <w:bookmarkStart w:id="1185" w:name="_Toc16519"/>
      <w:bookmarkStart w:id="1186" w:name="_Toc21444"/>
      <w:bookmarkStart w:id="1187" w:name="_Toc18700"/>
      <w:bookmarkStart w:id="1188" w:name="_Toc22597"/>
      <w:bookmarkStart w:id="1189" w:name="_Toc2288"/>
      <w:bookmarkStart w:id="1190" w:name="_Toc8268"/>
      <w:bookmarkStart w:id="1191" w:name="_Toc22612"/>
      <w:bookmarkStart w:id="1192" w:name="_Toc9074"/>
      <w:bookmarkStart w:id="1193" w:name="_Toc20673"/>
      <w:bookmarkStart w:id="1194" w:name="_Toc5044"/>
      <w:bookmarkStart w:id="1195" w:name="_Toc5428"/>
      <w:r>
        <w:rPr>
          <w:rFonts w:hint="eastAsia" w:ascii="楷体" w:hAnsi="楷体" w:eastAsia="楷体" w:cs="楷体"/>
          <w:b/>
          <w:bCs/>
          <w:sz w:val="32"/>
          <w:szCs w:val="32"/>
        </w:rPr>
        <w:t>第三节 建设国家营商环境创新试点城市</w:t>
      </w:r>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p>
    <w:p>
      <w:pPr>
        <w:overflowPunct w:val="0"/>
        <w:adjustRightInd w:val="0"/>
        <w:snapToGrid w:val="0"/>
        <w:spacing w:line="600" w:lineRule="exact"/>
        <w:ind w:firstLine="643" w:firstLineChars="200"/>
        <w:rPr>
          <w:rFonts w:ascii="仿宋_GB2312" w:hAnsi="仿宋" w:eastAsia="仿宋_GB2312" w:cs="仿宋"/>
          <w:sz w:val="32"/>
          <w:szCs w:val="32"/>
        </w:rPr>
      </w:pPr>
      <w:r>
        <w:rPr>
          <w:rFonts w:hint="eastAsia" w:ascii="仿宋_GB2312" w:hAnsi="仿宋_GB2312" w:eastAsia="仿宋_GB2312" w:cs="仿宋_GB2312"/>
          <w:b/>
          <w:bCs/>
          <w:sz w:val="32"/>
          <w:szCs w:val="32"/>
        </w:rPr>
        <w:t>深化“放管服”改革。</w:t>
      </w:r>
      <w:r>
        <w:rPr>
          <w:rFonts w:hint="eastAsia" w:ascii="仿宋_GB2312" w:hAnsi="仿宋_GB2312" w:eastAsia="仿宋_GB2312" w:cs="仿宋_GB2312"/>
          <w:sz w:val="32"/>
          <w:szCs w:val="32"/>
        </w:rPr>
        <w:t>深刻转变政府职能，优化政府职责体系，全面推行权力清单、责任清单、负面清单制度。</w:t>
      </w:r>
      <w:r>
        <w:rPr>
          <w:rFonts w:hint="eastAsia" w:ascii="仿宋_GB2312" w:hAnsi="仿宋" w:eastAsia="仿宋_GB2312" w:cs="仿宋"/>
          <w:sz w:val="32"/>
          <w:szCs w:val="32"/>
        </w:rPr>
        <w:t>进一步精简行政许可事项，</w:t>
      </w:r>
      <w:r>
        <w:rPr>
          <w:rFonts w:hint="eastAsia" w:ascii="仿宋_GB2312" w:hAnsi="仿宋_GB2312" w:eastAsia="仿宋_GB2312" w:cs="仿宋_GB2312"/>
          <w:sz w:val="32"/>
          <w:szCs w:val="32"/>
        </w:rPr>
        <w:t>推广告知承诺制审批和容缺后补审批模式</w:t>
      </w:r>
      <w:r>
        <w:rPr>
          <w:rFonts w:hint="eastAsia" w:ascii="仿宋_GB2312" w:hAnsi="仿宋_GB2312" w:eastAsia="仿宋_GB2312" w:cs="仿宋_GB2312"/>
          <w:bCs/>
          <w:color w:val="000000"/>
          <w:sz w:val="32"/>
          <w:szCs w:val="32"/>
        </w:rPr>
        <w:t>，实施涉企经营许可事项清单管理</w:t>
      </w:r>
      <w:r>
        <w:rPr>
          <w:rFonts w:hint="eastAsia" w:ascii="仿宋_GB2312" w:hAnsi="仿宋_GB2312" w:eastAsia="仿宋_GB2312" w:cs="仿宋_GB2312"/>
          <w:sz w:val="32"/>
          <w:szCs w:val="32"/>
        </w:rPr>
        <w:t>。推行</w:t>
      </w:r>
      <w:r>
        <w:rPr>
          <w:rFonts w:hint="eastAsia" w:ascii="仿宋_GB2312" w:hAnsi="仿宋_GB2312" w:eastAsia="仿宋_GB2312" w:cs="仿宋_GB2312"/>
          <w:bCs/>
          <w:color w:val="000000"/>
          <w:sz w:val="32"/>
          <w:szCs w:val="32"/>
        </w:rPr>
        <w:t>商事登记确认制，完善企业撤销登记程序，建立商事主体除名制度和依职权注销制度，探索个体户豁免登记。</w:t>
      </w:r>
      <w:r>
        <w:rPr>
          <w:rFonts w:hint="eastAsia" w:ascii="仿宋_GB2312" w:hAnsi="仿宋" w:eastAsia="仿宋_GB2312" w:cs="仿宋"/>
          <w:sz w:val="32"/>
          <w:szCs w:val="32"/>
        </w:rPr>
        <w:t>改革公共资源交易管理体制，完善交易运行服务机制，建设</w:t>
      </w:r>
      <w:r>
        <w:rPr>
          <w:rFonts w:hint="eastAsia" w:ascii="仿宋_GB2312" w:hAnsi="仿宋" w:eastAsia="仿宋_GB2312"/>
          <w:bCs/>
          <w:sz w:val="32"/>
          <w:szCs w:val="32"/>
        </w:rPr>
        <w:t>全国一流的公共资源交易平台</w:t>
      </w:r>
      <w:r>
        <w:rPr>
          <w:rFonts w:hint="eastAsia" w:ascii="仿宋_GB2312" w:hAnsi="仿宋" w:eastAsia="仿宋_GB2312" w:cs="仿宋"/>
          <w:sz w:val="32"/>
          <w:szCs w:val="32"/>
        </w:rPr>
        <w:t>。完善“双随机、一公开”监管制度，加大重点领域监管力度，确保有效监管。</w:t>
      </w:r>
      <w:r>
        <w:rPr>
          <w:rFonts w:hint="eastAsia" w:ascii="仿宋_GB2312" w:hAnsi="仿宋_GB2312" w:eastAsia="仿宋_GB2312" w:cs="仿宋_GB2312"/>
          <w:sz w:val="32"/>
          <w:szCs w:val="32"/>
        </w:rPr>
        <w:t>健全重大政策事前评估和事后评价制度，建立涉企政策综合协调审查机制。建立全市统一的市场主体服务平台，</w:t>
      </w:r>
      <w:r>
        <w:rPr>
          <w:rFonts w:hint="eastAsia" w:ascii="仿宋_GB2312" w:hAnsi="仿宋" w:eastAsia="仿宋_GB2312" w:cs="仿宋"/>
          <w:sz w:val="32"/>
          <w:szCs w:val="32"/>
        </w:rPr>
        <w:t>推进政务服务标准化、规范化、便利化。</w:t>
      </w:r>
    </w:p>
    <w:p>
      <w:pPr>
        <w:pStyle w:val="8"/>
        <w:overflowPunct w:val="0"/>
        <w:adjustRightInd w:val="0"/>
        <w:snapToGrid w:val="0"/>
        <w:spacing w:line="600" w:lineRule="exact"/>
        <w:ind w:firstLine="643"/>
        <w:rPr>
          <w:rFonts w:ascii="仿宋_GB2312" w:hAnsi="仿宋_GB2312" w:eastAsia="仿宋_GB2312" w:cs="仿宋_GB2312"/>
          <w:bCs/>
          <w:color w:val="000000"/>
          <w:sz w:val="32"/>
          <w:szCs w:val="32"/>
        </w:rPr>
      </w:pPr>
      <w:r>
        <w:rPr>
          <w:rFonts w:hint="eastAsia" w:ascii="仿宋_GB2312" w:hAnsi="仿宋_GB2312" w:eastAsia="仿宋_GB2312" w:cs="仿宋_GB2312"/>
          <w:b/>
          <w:bCs/>
          <w:sz w:val="32"/>
          <w:szCs w:val="32"/>
        </w:rPr>
        <w:t>营造公平竞争的市场环境。</w:t>
      </w:r>
      <w:r>
        <w:rPr>
          <w:rFonts w:hint="eastAsia" w:ascii="仿宋_GB2312" w:hAnsi="仿宋_GB2312" w:eastAsia="仿宋_GB2312" w:cs="仿宋_GB2312"/>
          <w:bCs/>
          <w:color w:val="000000"/>
          <w:sz w:val="32"/>
          <w:szCs w:val="32"/>
        </w:rPr>
        <w:t>贯彻落实深圳建设中国特色社会主义先行示范区放宽市场准入</w:t>
      </w:r>
      <w:r>
        <w:rPr>
          <w:rFonts w:hint="eastAsia" w:ascii="仿宋_GB2312" w:hAnsi="仿宋_GB2312" w:eastAsia="仿宋_GB2312" w:cs="仿宋_GB2312"/>
          <w:sz w:val="32"/>
          <w:szCs w:val="32"/>
        </w:rPr>
        <w:t>特别措施，在科技创新、金融投资、医疗卫生、教育、文化、交通运输等领域部署一批准入放开的特别事项。坚持竞争中性原则，系统清理各类显性和隐性壁垒，在要素获取、准入许可、经营运行、政府采购和招标投标等方面平等对待各类所有制企业。强化竞争政策基础地位，推进产业政策与国际通行规则对接。</w:t>
      </w:r>
      <w:r>
        <w:rPr>
          <w:rFonts w:hint="eastAsia" w:ascii="仿宋_GB2312" w:hAnsi="仿宋_GB2312" w:eastAsia="仿宋_GB2312" w:cs="仿宋_GB2312"/>
          <w:bCs/>
          <w:sz w:val="32"/>
          <w:szCs w:val="32"/>
        </w:rPr>
        <w:t>完善公平竞争审查制度</w:t>
      </w:r>
      <w:r>
        <w:rPr>
          <w:rFonts w:hint="eastAsia" w:ascii="仿宋_GB2312" w:hAnsi="仿宋_GB2312" w:eastAsia="仿宋_GB2312" w:cs="仿宋_GB2312"/>
          <w:sz w:val="32"/>
          <w:szCs w:val="32"/>
        </w:rPr>
        <w:t>，坚持存量清理和增量审查并重，实施第三方评估审查。加强反垄断和反不正当竞争执法司法，</w:t>
      </w:r>
      <w:r>
        <w:rPr>
          <w:rFonts w:hint="eastAsia" w:ascii="仿宋_GB2312" w:hAnsi="仿宋_GB2312" w:eastAsia="仿宋_GB2312" w:cs="仿宋_GB2312"/>
          <w:bCs/>
          <w:color w:val="000000"/>
          <w:sz w:val="32"/>
          <w:szCs w:val="32"/>
        </w:rPr>
        <w:t>加大</w:t>
      </w:r>
      <w:r>
        <w:rPr>
          <w:rFonts w:hint="eastAsia" w:ascii="仿宋_GB2312" w:hAnsi="仿宋_GB2312" w:eastAsia="仿宋_GB2312" w:cs="仿宋_GB2312"/>
          <w:bCs/>
          <w:sz w:val="32"/>
          <w:szCs w:val="32"/>
        </w:rPr>
        <w:t>对商业贿赂、侵犯企业商业秘密</w:t>
      </w:r>
      <w:r>
        <w:rPr>
          <w:rFonts w:hint="eastAsia" w:ascii="仿宋_GB2312" w:hAnsi="仿宋_GB2312" w:eastAsia="仿宋_GB2312" w:cs="仿宋_GB2312"/>
          <w:bCs/>
          <w:color w:val="000000"/>
          <w:sz w:val="32"/>
          <w:szCs w:val="32"/>
        </w:rPr>
        <w:t>等行为的打击力度。</w:t>
      </w:r>
    </w:p>
    <w:p>
      <w:pPr>
        <w:pStyle w:val="8"/>
        <w:overflowPunct w:val="0"/>
        <w:spacing w:line="60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加强产权保护。</w:t>
      </w:r>
      <w:r>
        <w:rPr>
          <w:rFonts w:hint="eastAsia" w:ascii="仿宋_GB2312" w:hAnsi="仿宋_GB2312" w:eastAsia="仿宋_GB2312" w:cs="仿宋_GB2312"/>
          <w:sz w:val="32"/>
          <w:szCs w:val="32"/>
        </w:rPr>
        <w:t>健全以公平为原则的产权保护制度，全面依法平等保护各种所有制经济组织和公民财产权。建立知识产权侵权惩罚性赔偿制度、知识产权案件举证责任转移制度、侵权案件民事刑事一体追究制度，打造保护知识产权标杆城市。开展新型知识产权法律保护试点，探索新类型数字化知识产权财产权益法律保护新模式，加强企业技术秘密等商业秘密保护。促进知识产权行政执法标准和司法裁判标准统一，完善知识产权行政执法和司法衔接机制。深化企业破产重整、预重整、执行转破产制度改革，率先探索上市公司预重整制度，完善市场主体救治和退出机制，健全自然人破产制度。</w:t>
      </w:r>
    </w:p>
    <w:p>
      <w:pPr>
        <w:overflowPunct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完善社会信用体系和新型监管机制。</w:t>
      </w:r>
      <w:r>
        <w:rPr>
          <w:rFonts w:hint="eastAsia" w:ascii="仿宋_GB2312" w:hAnsi="仿宋_GB2312" w:eastAsia="仿宋_GB2312" w:cs="仿宋_GB2312"/>
          <w:bCs/>
          <w:color w:val="000000"/>
          <w:sz w:val="32"/>
          <w:szCs w:val="32"/>
        </w:rPr>
        <w:t>建立统一的社会信用平台，推进信用信息共享，有序开放公共信用信息。</w:t>
      </w:r>
      <w:r>
        <w:rPr>
          <w:rFonts w:hint="eastAsia" w:ascii="仿宋_GB2312" w:hAnsi="仿宋_GB2312" w:eastAsia="仿宋_GB2312" w:cs="仿宋_GB2312"/>
          <w:sz w:val="32"/>
          <w:szCs w:val="32"/>
        </w:rPr>
        <w:t>推广信用承诺制度，将信用承诺履行情况记入信用记录，创建一批诚信示范街道、社区和单位。健全信用信息异议制度和信用修复机制。培育第三方信用服务机构，</w:t>
      </w:r>
      <w:r>
        <w:rPr>
          <w:rFonts w:hint="eastAsia" w:ascii="仿宋_GB2312" w:hAnsi="等线" w:eastAsia="仿宋_GB2312"/>
          <w:sz w:val="32"/>
          <w:szCs w:val="32"/>
        </w:rPr>
        <w:t>支持信用调查、信用评估等行业加快发展。</w:t>
      </w:r>
      <w:r>
        <w:rPr>
          <w:rFonts w:hint="eastAsia" w:ascii="仿宋_GB2312" w:hAnsi="仿宋_GB2312" w:eastAsia="仿宋_GB2312" w:cs="仿宋_GB2312"/>
          <w:sz w:val="32"/>
          <w:szCs w:val="32"/>
        </w:rPr>
        <w:t>构建以信用为基础的新型智慧监管机制，实施事前信用承诺、事中信用分类监管、事后信用联合奖惩，建立“巡办分离”和“互联网+”监管，提升市场综合监管、精准监管能力。</w:t>
      </w:r>
    </w:p>
    <w:p>
      <w:pPr>
        <w:spacing w:line="600" w:lineRule="exact"/>
        <w:jc w:val="left"/>
      </w:pPr>
      <w:bookmarkStart w:id="1196" w:name="_Toc9347"/>
      <w:bookmarkStart w:id="1197" w:name="_Toc2524"/>
      <w:bookmarkStart w:id="1198" w:name="_Toc18247"/>
      <w:bookmarkStart w:id="1199" w:name="_Toc21161"/>
      <w:bookmarkStart w:id="1200" w:name="_Toc20954"/>
      <w:bookmarkStart w:id="1201" w:name="_Toc13864"/>
      <w:bookmarkStart w:id="1202" w:name="_Toc11881"/>
      <w:bookmarkStart w:id="1203" w:name="_Toc29074"/>
      <w:bookmarkStart w:id="1204" w:name="_Toc24963"/>
      <w:bookmarkStart w:id="1205" w:name="_Toc7144"/>
      <w:bookmarkStart w:id="1206" w:name="_Toc22285"/>
      <w:bookmarkStart w:id="1207" w:name="_Toc22767"/>
      <w:bookmarkStart w:id="1208" w:name="_Toc31499"/>
      <w:bookmarkStart w:id="1209" w:name="_Toc22144"/>
      <w:bookmarkStart w:id="1210" w:name="_Toc12441"/>
      <w:bookmarkStart w:id="1211" w:name="_Toc20530"/>
      <w:bookmarkStart w:id="1212" w:name="_Toc260"/>
      <w:bookmarkStart w:id="1213" w:name="_Toc11642"/>
      <w:bookmarkStart w:id="1214" w:name="_Toc15885"/>
      <w:bookmarkStart w:id="1215" w:name="_Toc31038"/>
      <w:bookmarkStart w:id="1216" w:name="_Toc19711"/>
      <w:bookmarkStart w:id="1217" w:name="_Toc19827"/>
      <w:bookmarkStart w:id="1218" w:name="_Toc11073"/>
      <w:bookmarkStart w:id="1219" w:name="_Toc12792"/>
      <w:bookmarkStart w:id="1220" w:name="_Toc32098"/>
      <w:bookmarkStart w:id="1221" w:name="_Toc4374"/>
      <w:bookmarkStart w:id="1222" w:name="_Toc17682"/>
      <w:bookmarkStart w:id="1223" w:name="_Toc19357"/>
      <w:bookmarkStart w:id="1224" w:name="_Toc11370"/>
      <w:bookmarkStart w:id="1225" w:name="_Toc25072"/>
    </w:p>
    <w:p>
      <w:pPr>
        <w:overflowPunct w:val="0"/>
        <w:spacing w:line="600" w:lineRule="exact"/>
        <w:jc w:val="center"/>
        <w:outlineLvl w:val="2"/>
        <w:rPr>
          <w:rFonts w:eastAsia="楷体"/>
        </w:rPr>
      </w:pPr>
      <w:bookmarkStart w:id="1226" w:name="_Toc27842"/>
      <w:bookmarkStart w:id="1227" w:name="_Toc4920"/>
      <w:bookmarkStart w:id="1228" w:name="_Toc15773"/>
      <w:bookmarkStart w:id="1229" w:name="_Toc7986"/>
      <w:bookmarkStart w:id="1230" w:name="_Toc23224"/>
      <w:bookmarkStart w:id="1231" w:name="_Toc8559"/>
      <w:bookmarkStart w:id="1232" w:name="_Toc21792"/>
      <w:bookmarkStart w:id="1233" w:name="_Toc1018"/>
      <w:bookmarkStart w:id="1234" w:name="_Toc24994"/>
      <w:bookmarkStart w:id="1235" w:name="_Toc25597"/>
      <w:bookmarkStart w:id="1236" w:name="_Toc26903"/>
      <w:bookmarkStart w:id="1237" w:name="_Toc1959"/>
      <w:bookmarkStart w:id="1238" w:name="_Toc21804"/>
      <w:bookmarkStart w:id="1239" w:name="_Toc20725"/>
      <w:bookmarkStart w:id="1240" w:name="_Toc16495"/>
      <w:bookmarkStart w:id="1241" w:name="_Toc13277"/>
      <w:bookmarkStart w:id="1242" w:name="_Toc17540"/>
      <w:bookmarkStart w:id="1243" w:name="_Toc9379"/>
      <w:bookmarkStart w:id="1244" w:name="_Toc17214"/>
      <w:bookmarkStart w:id="1245" w:name="_Toc26830"/>
      <w:bookmarkStart w:id="1246" w:name="_Toc30378"/>
      <w:bookmarkStart w:id="1247" w:name="_Toc31095"/>
      <w:bookmarkStart w:id="1248" w:name="_Toc26853"/>
      <w:bookmarkStart w:id="1249" w:name="_Toc22034"/>
      <w:bookmarkStart w:id="1250" w:name="_Toc13945"/>
      <w:bookmarkStart w:id="1251" w:name="_Toc2896"/>
      <w:bookmarkStart w:id="1252" w:name="_Toc31948"/>
      <w:bookmarkStart w:id="1253" w:name="_Toc27445"/>
      <w:bookmarkStart w:id="1254" w:name="_Toc7391"/>
      <w:bookmarkStart w:id="1255" w:name="_Toc15891"/>
      <w:bookmarkStart w:id="1256" w:name="_Toc17306"/>
      <w:bookmarkStart w:id="1257" w:name="_Toc9359"/>
      <w:bookmarkStart w:id="1258" w:name="_Toc19915"/>
      <w:bookmarkStart w:id="1259" w:name="_Toc29098"/>
      <w:bookmarkStart w:id="1260" w:name="_Toc19960"/>
      <w:bookmarkStart w:id="1261" w:name="_Toc15497"/>
      <w:bookmarkStart w:id="1262" w:name="_Toc6686"/>
      <w:bookmarkStart w:id="1263" w:name="_Toc1785"/>
      <w:bookmarkStart w:id="1264" w:name="_Toc2735"/>
      <w:bookmarkStart w:id="1265" w:name="_Toc28026"/>
      <w:bookmarkStart w:id="1266" w:name="_Toc29220"/>
      <w:bookmarkStart w:id="1267" w:name="_Toc19152"/>
      <w:bookmarkStart w:id="1268" w:name="_Toc17650"/>
      <w:r>
        <w:rPr>
          <w:rFonts w:hint="eastAsia" w:ascii="楷体" w:hAnsi="楷体" w:eastAsia="楷体" w:cs="楷体"/>
          <w:b/>
          <w:bCs/>
          <w:sz w:val="32"/>
          <w:szCs w:val="32"/>
        </w:rPr>
        <w:t xml:space="preserve">第四节 </w:t>
      </w:r>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r>
        <w:rPr>
          <w:rFonts w:hint="eastAsia" w:ascii="楷体" w:hAnsi="楷体" w:eastAsia="楷体" w:cs="楷体"/>
          <w:b/>
          <w:bCs/>
          <w:sz w:val="32"/>
          <w:szCs w:val="32"/>
        </w:rPr>
        <w:t>激发市场主体活力</w:t>
      </w:r>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p>
    <w:p>
      <w:pPr>
        <w:overflowPunct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促进民营企业高质量发展。</w:t>
      </w:r>
      <w:r>
        <w:rPr>
          <w:rFonts w:hint="eastAsia" w:ascii="仿宋_GB2312" w:hAnsi="仿宋_GB2312" w:eastAsia="仿宋_GB2312" w:cs="仿宋_GB2312"/>
          <w:sz w:val="32"/>
          <w:szCs w:val="32"/>
        </w:rPr>
        <w:t>优化民营经济发展环境，</w:t>
      </w:r>
      <w:r>
        <w:rPr>
          <w:rFonts w:hint="eastAsia" w:ascii="仿宋_GB2312" w:hAnsi="仿宋_GB2312" w:eastAsia="仿宋_GB2312" w:cs="仿宋_GB2312"/>
          <w:bCs/>
          <w:sz w:val="32"/>
          <w:szCs w:val="32"/>
        </w:rPr>
        <w:t>消除制约民营企业发展的制度性障碍，</w:t>
      </w:r>
      <w:r>
        <w:rPr>
          <w:rFonts w:hint="eastAsia" w:ascii="仿宋_GB2312" w:hAnsi="仿宋_GB2312" w:eastAsia="仿宋_GB2312" w:cs="仿宋_GB2312"/>
          <w:sz w:val="32"/>
          <w:szCs w:val="32"/>
        </w:rPr>
        <w:t>完善对民营企业全生命周期的服务模式和服务链条</w:t>
      </w:r>
      <w:r>
        <w:rPr>
          <w:rFonts w:hint="eastAsia" w:ascii="仿宋_GB2312" w:hAnsi="仿宋_GB2312" w:eastAsia="仿宋_GB2312" w:cs="仿宋_GB2312"/>
          <w:bCs/>
          <w:sz w:val="32"/>
          <w:szCs w:val="32"/>
        </w:rPr>
        <w:t>。健全</w:t>
      </w:r>
      <w:r>
        <w:rPr>
          <w:rFonts w:hint="eastAsia" w:ascii="仿宋_GB2312" w:hAnsi="仿宋_GB2312" w:eastAsia="仿宋_GB2312" w:cs="仿宋_GB2312"/>
          <w:sz w:val="32"/>
          <w:szCs w:val="32"/>
        </w:rPr>
        <w:t>民营企业融资增信支持体系，创新信贷风险政府担保补偿机制，拓宽民营企业融资渠道，降低融资成本。建立党政领导和企业家常态化沟通联系机制，完善企业家参与涉企政策制定机制，构建亲清政商关系。</w:t>
      </w:r>
      <w:r>
        <w:rPr>
          <w:rFonts w:hint="eastAsia" w:ascii="仿宋_GB2312" w:hAnsi="仿宋_GB2312" w:eastAsia="仿宋_GB2312" w:cs="仿宋_GB2312"/>
          <w:sz w:val="32"/>
          <w:szCs w:val="32"/>
          <w:lang w:val="zh-CN"/>
        </w:rPr>
        <w:t>优化工商联运行机制，深化行业协会、商会和中介机构改革，更好发挥在服务企业方面的积极作用。依法保护民营企业产权和企业家合法权益，激励企业家干事创业，促进中小微企业和个体工商户健康发展</w:t>
      </w:r>
      <w:r>
        <w:rPr>
          <w:rFonts w:hint="eastAsia" w:ascii="仿宋_GB2312" w:hAnsi="仿宋_GB2312" w:eastAsia="仿宋_GB2312" w:cs="仿宋_GB2312"/>
          <w:sz w:val="32"/>
          <w:szCs w:val="32"/>
        </w:rPr>
        <w:t>。弘扬新时代深商精神，加快建设世界一流企业，创建民营经济示范城市。</w:t>
      </w:r>
    </w:p>
    <w:p>
      <w:pPr>
        <w:overflowPunct w:val="0"/>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建设区域性国资国企综合改革高地。</w:t>
      </w:r>
      <w:r>
        <w:rPr>
          <w:rFonts w:hint="eastAsia" w:ascii="仿宋_GB2312" w:hAnsi="仿宋_GB2312" w:eastAsia="仿宋_GB2312" w:cs="仿宋_GB2312"/>
          <w:bCs/>
          <w:sz w:val="32"/>
          <w:szCs w:val="32"/>
        </w:rPr>
        <w:t>完善以管资本为主的国有资产监管体制，创新国有资产管理体制和国有企业经营机制，打造国资管理体制创新先行区和国企高质量发展先锋区。实施“上市公司+”战略，分类推进国企混合所有制改革，大力发展科技型国企。强化市场化选聘和契约化管理，建立完善国企领导人员管理机制及长效激励约束机制。探索开展国有企业投资负面清单管理，推动国有资本向</w:t>
      </w:r>
      <w:r>
        <w:rPr>
          <w:rFonts w:hint="eastAsia" w:ascii="仿宋_GB2312" w:hAnsi="仿宋_GB2312" w:eastAsia="仿宋_GB2312" w:cs="仿宋_GB2312"/>
          <w:sz w:val="32"/>
          <w:szCs w:val="32"/>
        </w:rPr>
        <w:t>基础设施、公用事业、战略性新兴产业领域集中，着力增强国有经济竞争力、创新力、控制力、影响力和抗风险能力。</w:t>
      </w:r>
      <w:r>
        <w:rPr>
          <w:rFonts w:hint="eastAsia" w:ascii="仿宋_GB2312" w:hAnsi="仿宋_GB2312" w:eastAsia="仿宋_GB2312" w:cs="仿宋_GB2312"/>
          <w:sz w:val="32"/>
          <w:szCs w:val="32"/>
          <w:lang w:val="zh-CN"/>
        </w:rPr>
        <w:t>适时适度</w:t>
      </w:r>
      <w:r>
        <w:rPr>
          <w:rFonts w:hint="eastAsia" w:ascii="仿宋_GB2312" w:hAnsi="仿宋_GB2312" w:eastAsia="仿宋_GB2312" w:cs="仿宋_GB2312"/>
          <w:sz w:val="32"/>
          <w:szCs w:val="32"/>
        </w:rPr>
        <w:t>提高国有资本收益上交比例</w:t>
      </w:r>
      <w:r>
        <w:rPr>
          <w:rFonts w:hint="eastAsia" w:ascii="仿宋_GB2312" w:hAnsi="仿宋_GB2312" w:eastAsia="仿宋_GB2312" w:cs="仿宋_GB2312"/>
          <w:sz w:val="32"/>
          <w:szCs w:val="32"/>
          <w:lang w:val="zh-CN"/>
        </w:rPr>
        <w:t>，推动国企发展成果惠及社会民生。</w:t>
      </w:r>
    </w:p>
    <w:p>
      <w:pPr>
        <w:pStyle w:val="14"/>
        <w:overflowPunct w:val="0"/>
        <w:spacing w:line="60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稳步推进社区股份合作公司改革。</w:t>
      </w:r>
      <w:r>
        <w:rPr>
          <w:rFonts w:hint="eastAsia" w:ascii="仿宋_GB2312" w:hAnsi="仿宋_GB2312" w:eastAsia="仿宋_GB2312" w:cs="仿宋_GB2312"/>
          <w:bCs/>
          <w:sz w:val="32"/>
          <w:szCs w:val="32"/>
        </w:rPr>
        <w:t>健全股权继承、转让、回购机制，鼓励灵活运用募集新股、股权置换等方式引进战略投资者。探索推行职业经理人制度，完善法人治理结构，加快向投资型、服务型、管理型企业转变。扩大利益统筹试点，盘活社区股份合作公司土地资产，加快实现社区集体经济转型发展。</w:t>
      </w:r>
    </w:p>
    <w:p>
      <w:pPr>
        <w:spacing w:line="600" w:lineRule="exact"/>
      </w:pPr>
    </w:p>
    <w:p>
      <w:pPr>
        <w:overflowPunct w:val="0"/>
        <w:spacing w:line="600" w:lineRule="exact"/>
        <w:jc w:val="center"/>
        <w:outlineLvl w:val="2"/>
        <w:rPr>
          <w:rFonts w:ascii="楷体" w:hAnsi="楷体" w:eastAsia="楷体" w:cs="楷体"/>
          <w:b/>
          <w:bCs/>
          <w:sz w:val="32"/>
          <w:szCs w:val="32"/>
        </w:rPr>
      </w:pPr>
      <w:bookmarkStart w:id="1269" w:name="_Toc15480"/>
      <w:bookmarkStart w:id="1270" w:name="_Toc17496"/>
      <w:bookmarkStart w:id="1271" w:name="_Toc22894"/>
      <w:bookmarkStart w:id="1272" w:name="_Toc21302"/>
      <w:bookmarkStart w:id="1273" w:name="_Toc29532"/>
      <w:bookmarkStart w:id="1274" w:name="_Toc20058"/>
      <w:bookmarkStart w:id="1275" w:name="_Toc6821"/>
      <w:bookmarkStart w:id="1276" w:name="_Toc25202"/>
      <w:bookmarkStart w:id="1277" w:name="_Toc10522"/>
      <w:bookmarkStart w:id="1278" w:name="_Toc25286"/>
      <w:bookmarkStart w:id="1279" w:name="_Toc23792"/>
      <w:bookmarkStart w:id="1280" w:name="_Toc19660"/>
      <w:bookmarkStart w:id="1281" w:name="_Toc8790"/>
      <w:bookmarkStart w:id="1282" w:name="_Toc32743"/>
      <w:bookmarkStart w:id="1283" w:name="_Toc20624"/>
      <w:bookmarkStart w:id="1284" w:name="_Toc20671"/>
      <w:bookmarkStart w:id="1285" w:name="_Toc6919"/>
      <w:bookmarkStart w:id="1286" w:name="_Toc14047"/>
      <w:bookmarkStart w:id="1287" w:name="_Toc28095"/>
      <w:bookmarkStart w:id="1288" w:name="_Toc14726"/>
      <w:bookmarkStart w:id="1289" w:name="_Toc16273"/>
      <w:bookmarkStart w:id="1290" w:name="_Toc14671"/>
      <w:bookmarkStart w:id="1291" w:name="_Toc28363"/>
      <w:bookmarkStart w:id="1292" w:name="_Toc16091"/>
      <w:bookmarkStart w:id="1293" w:name="_Toc16218"/>
      <w:bookmarkStart w:id="1294" w:name="_Toc3291"/>
      <w:bookmarkStart w:id="1295" w:name="_Toc15732"/>
      <w:bookmarkStart w:id="1296" w:name="_Toc3467"/>
      <w:bookmarkStart w:id="1297" w:name="_Toc489"/>
      <w:bookmarkStart w:id="1298" w:name="_Toc28616"/>
      <w:bookmarkStart w:id="1299" w:name="_Toc13607"/>
      <w:bookmarkStart w:id="1300" w:name="_Toc2013"/>
      <w:bookmarkStart w:id="1301" w:name="_Toc23707"/>
      <w:bookmarkStart w:id="1302" w:name="_Toc7499"/>
      <w:bookmarkStart w:id="1303" w:name="_Toc32298"/>
      <w:bookmarkStart w:id="1304" w:name="_Toc29444"/>
      <w:bookmarkStart w:id="1305" w:name="_Toc10084"/>
      <w:bookmarkStart w:id="1306" w:name="_Toc14491"/>
      <w:bookmarkStart w:id="1307" w:name="_Toc3410"/>
      <w:bookmarkStart w:id="1308" w:name="_Toc19435"/>
      <w:bookmarkStart w:id="1309" w:name="_Toc22601"/>
      <w:bookmarkStart w:id="1310" w:name="_Toc12059"/>
      <w:bookmarkStart w:id="1311" w:name="_Toc10932"/>
      <w:bookmarkStart w:id="1312" w:name="_Toc16603"/>
      <w:bookmarkStart w:id="1313" w:name="_Toc17344"/>
      <w:bookmarkStart w:id="1314" w:name="_Toc24842"/>
      <w:bookmarkStart w:id="1315" w:name="_Toc8037"/>
      <w:bookmarkStart w:id="1316" w:name="_Toc13275"/>
      <w:bookmarkStart w:id="1317" w:name="_Toc31844"/>
      <w:bookmarkStart w:id="1318" w:name="_Toc10657"/>
      <w:bookmarkStart w:id="1319" w:name="_Toc10144"/>
      <w:bookmarkStart w:id="1320" w:name="_Toc16620"/>
      <w:bookmarkStart w:id="1321" w:name="_Toc9407"/>
      <w:bookmarkStart w:id="1322" w:name="_Toc25954"/>
      <w:bookmarkStart w:id="1323" w:name="_Toc19674"/>
      <w:bookmarkStart w:id="1324" w:name="_Toc1778"/>
      <w:bookmarkStart w:id="1325" w:name="_Toc10872"/>
      <w:bookmarkStart w:id="1326" w:name="_Toc25779"/>
      <w:bookmarkStart w:id="1327" w:name="_Toc10943"/>
      <w:bookmarkStart w:id="1328" w:name="_Toc14722"/>
      <w:bookmarkStart w:id="1329" w:name="_Toc17797"/>
      <w:bookmarkStart w:id="1330" w:name="_Toc30538"/>
      <w:bookmarkStart w:id="1331" w:name="_Toc26935"/>
      <w:bookmarkStart w:id="1332" w:name="_Toc23453"/>
      <w:bookmarkStart w:id="1333" w:name="_Toc31743"/>
      <w:bookmarkStart w:id="1334" w:name="_Toc25949"/>
      <w:bookmarkStart w:id="1335" w:name="_Toc10115"/>
      <w:bookmarkStart w:id="1336" w:name="_Toc10118"/>
      <w:bookmarkStart w:id="1337" w:name="_Toc16233"/>
      <w:bookmarkStart w:id="1338" w:name="_Toc22453"/>
      <w:bookmarkStart w:id="1339" w:name="_Toc31246"/>
      <w:bookmarkStart w:id="1340" w:name="_Toc25920"/>
      <w:bookmarkStart w:id="1341" w:name="_Toc26176"/>
      <w:r>
        <w:rPr>
          <w:rFonts w:hint="eastAsia" w:ascii="楷体" w:hAnsi="楷体" w:eastAsia="楷体" w:cs="楷体"/>
          <w:b/>
          <w:bCs/>
          <w:sz w:val="32"/>
          <w:szCs w:val="32"/>
        </w:rPr>
        <w:t>第五节 创新行政管理体制</w:t>
      </w:r>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p>
    <w:p>
      <w:pPr>
        <w:overflowPunct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优化政府组织结构。</w:t>
      </w:r>
      <w:r>
        <w:rPr>
          <w:rFonts w:hint="eastAsia" w:ascii="仿宋_GB2312" w:hAnsi="仿宋_GB2312" w:eastAsia="仿宋_GB2312" w:cs="仿宋_GB2312"/>
          <w:sz w:val="32"/>
          <w:szCs w:val="32"/>
        </w:rPr>
        <w:t>以推进机构职能优化协同高效为着力点，动态调整优化机构设置和职能配置，厘清部门职责分工，落实机构、职能、权限、程序、责任法定化。优化市、区、街道三级事权划分，赋予基层更多自主权，将点多面广、基层管理迫切需要且能有效承接的权限下沉基层。深化街道体制改革，优化社区设置，构建简约高效的基层管理体制。创新编制管理方式，</w:t>
      </w:r>
      <w:r>
        <w:rPr>
          <w:rFonts w:hint="eastAsia" w:ascii="仿宋_GB2312" w:hAnsi="仿宋_GB2312" w:eastAsia="仿宋_GB2312" w:cs="仿宋_GB2312"/>
          <w:bCs/>
          <w:sz w:val="32"/>
          <w:szCs w:val="32"/>
        </w:rPr>
        <w:t>探索统筹使用各类编制资源。</w:t>
      </w:r>
    </w:p>
    <w:p>
      <w:pPr>
        <w:overflowPunct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深化事业单位改革试点。</w:t>
      </w:r>
      <w:r>
        <w:rPr>
          <w:rFonts w:hint="eastAsia" w:ascii="仿宋_GB2312" w:hAnsi="仿宋_GB2312" w:eastAsia="仿宋_GB2312" w:cs="仿宋_GB2312"/>
          <w:sz w:val="32"/>
          <w:szCs w:val="32"/>
        </w:rPr>
        <w:t>加快推进政事分开、事企分开、管办分离，优化结构布局、完善制度机制、强化公益属性、提高治理效能。规范和发展事业单位、社会团体及企业等组织利用国有资产举办事业单位，完善全流程管理制度体系。深化法定机构试点改革，促进规范化、市场化运行。</w:t>
      </w:r>
    </w:p>
    <w:p>
      <w:pPr>
        <w:overflowPunct w:val="0"/>
        <w:spacing w:line="600" w:lineRule="exact"/>
        <w:ind w:firstLine="640"/>
        <w:rPr>
          <w:rFonts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b/>
          <w:bCs/>
          <w:sz w:val="32"/>
          <w:szCs w:val="32"/>
        </w:rPr>
        <w:t>率先建立现代财税体制。</w:t>
      </w:r>
      <w:r>
        <w:rPr>
          <w:rFonts w:hint="eastAsia" w:ascii="仿宋_GB2312" w:hAnsi="仿宋_GB2312" w:eastAsia="仿宋_GB2312" w:cs="仿宋_GB2312"/>
          <w:sz w:val="32"/>
          <w:szCs w:val="32"/>
        </w:rPr>
        <w:t>加强财政资源统筹，加强中期财政规划管理，增强重大战略任务财力保障。深化预算管理制度改革，推进财政支出标准化，强化预算约束和绩效管理。实施第六轮市区财政体制改革，优化事权和财权划分，增强集中财力办大事和基层公共服务保障能力。健全市内企业跨区转移的GDP和税收分成机制，促进区域财政相对均衡。积极争取扩大税收管理权限，探索在特定区域实施特殊税收政策。加大地方政府专项债申请使用额度，推进境外发行离岸本外币政府债券。</w:t>
      </w:r>
    </w:p>
    <w:p>
      <w:pPr>
        <w:spacing w:line="600" w:lineRule="exact"/>
        <w:jc w:val="center"/>
        <w:outlineLvl w:val="1"/>
        <w:rPr>
          <w:rFonts w:ascii="黑体" w:hAnsi="黑体" w:eastAsia="黑体" w:cs="黑体"/>
          <w:sz w:val="36"/>
          <w:szCs w:val="36"/>
        </w:rPr>
      </w:pPr>
      <w:bookmarkStart w:id="1342" w:name="_Toc749"/>
      <w:bookmarkStart w:id="1343" w:name="_Toc18888"/>
      <w:bookmarkStart w:id="1344" w:name="_Toc19456"/>
      <w:bookmarkStart w:id="1345" w:name="_Toc21198"/>
      <w:bookmarkStart w:id="1346" w:name="_Toc13666"/>
      <w:bookmarkStart w:id="1347" w:name="_Toc32333"/>
      <w:bookmarkStart w:id="1348" w:name="_Toc20705"/>
      <w:bookmarkStart w:id="1349" w:name="_Toc28870"/>
      <w:bookmarkStart w:id="1350" w:name="_Toc20115"/>
      <w:bookmarkStart w:id="1351" w:name="_Toc14317"/>
      <w:bookmarkStart w:id="1352" w:name="_Toc659"/>
      <w:bookmarkStart w:id="1353" w:name="_Toc15530"/>
      <w:bookmarkStart w:id="1354" w:name="_Toc21889"/>
      <w:bookmarkStart w:id="1355" w:name="_Toc23455"/>
      <w:bookmarkStart w:id="1356" w:name="_Toc9356"/>
      <w:bookmarkStart w:id="1357" w:name="_Toc30156"/>
      <w:bookmarkStart w:id="1358" w:name="_Toc5515"/>
      <w:bookmarkStart w:id="1359" w:name="_Toc10624"/>
      <w:bookmarkStart w:id="1360" w:name="_Toc27325"/>
      <w:bookmarkStart w:id="1361" w:name="_Toc28673"/>
      <w:bookmarkStart w:id="1362" w:name="_Toc7920"/>
      <w:bookmarkStart w:id="1363" w:name="_Toc8481"/>
      <w:bookmarkStart w:id="1364" w:name="_Toc13745"/>
      <w:bookmarkStart w:id="1365" w:name="_Toc26683"/>
      <w:bookmarkStart w:id="1366" w:name="_Toc26819"/>
      <w:bookmarkStart w:id="1367" w:name="_Toc29025"/>
      <w:bookmarkStart w:id="1368" w:name="_Toc23603"/>
      <w:bookmarkStart w:id="1369" w:name="_Toc10108"/>
      <w:bookmarkStart w:id="1370" w:name="_Toc31382"/>
      <w:bookmarkStart w:id="1371" w:name="_Toc5826"/>
      <w:bookmarkStart w:id="1372" w:name="_Toc2319"/>
      <w:bookmarkStart w:id="1373" w:name="_Toc26036"/>
      <w:bookmarkStart w:id="1374" w:name="_Toc26023"/>
      <w:bookmarkStart w:id="1375" w:name="_Toc17690"/>
      <w:bookmarkStart w:id="1376" w:name="_Toc716"/>
      <w:bookmarkStart w:id="1377" w:name="_Toc11781"/>
      <w:bookmarkStart w:id="1378" w:name="_Toc11122"/>
      <w:bookmarkStart w:id="1379" w:name="_Toc26484"/>
      <w:bookmarkStart w:id="1380" w:name="_Toc6053"/>
      <w:bookmarkStart w:id="1381" w:name="_Toc10099"/>
      <w:bookmarkStart w:id="1382" w:name="_Toc1336"/>
      <w:bookmarkStart w:id="1383" w:name="_Toc4695"/>
      <w:bookmarkStart w:id="1384" w:name="_Toc25441"/>
      <w:bookmarkStart w:id="1385" w:name="_Toc18319"/>
      <w:bookmarkStart w:id="1386" w:name="_Toc12852"/>
      <w:bookmarkStart w:id="1387" w:name="_Toc9034"/>
      <w:bookmarkStart w:id="1388" w:name="_Toc6752"/>
      <w:bookmarkStart w:id="1389" w:name="_Toc838"/>
      <w:bookmarkStart w:id="1390" w:name="_Toc24265"/>
      <w:bookmarkStart w:id="1391" w:name="_Toc161"/>
      <w:bookmarkStart w:id="1392" w:name="_Toc10649"/>
      <w:bookmarkStart w:id="1393" w:name="_Toc15957"/>
      <w:bookmarkStart w:id="1394" w:name="_Toc27184"/>
      <w:bookmarkStart w:id="1395" w:name="_Toc17576"/>
      <w:bookmarkStart w:id="1396" w:name="_Toc6784"/>
      <w:bookmarkStart w:id="1397" w:name="_Toc20469"/>
      <w:bookmarkStart w:id="1398" w:name="_Toc497"/>
      <w:bookmarkStart w:id="1399" w:name="_Toc5290"/>
      <w:bookmarkStart w:id="1400" w:name="_Toc18272"/>
      <w:bookmarkStart w:id="1401" w:name="_Toc3530"/>
      <w:bookmarkStart w:id="1402" w:name="_Toc32405"/>
      <w:bookmarkStart w:id="1403" w:name="_Toc11435"/>
      <w:bookmarkStart w:id="1404" w:name="_Toc11572"/>
      <w:bookmarkStart w:id="1405" w:name="_Toc22000"/>
      <w:bookmarkStart w:id="1406" w:name="_Toc30195"/>
      <w:bookmarkStart w:id="1407" w:name="_Toc4207"/>
      <w:bookmarkStart w:id="1408" w:name="_Toc11012"/>
      <w:bookmarkStart w:id="1409" w:name="_Toc21134"/>
      <w:bookmarkStart w:id="1410" w:name="_Toc16840"/>
      <w:bookmarkStart w:id="1411" w:name="_Toc570"/>
      <w:bookmarkStart w:id="1412" w:name="_Toc24674"/>
      <w:bookmarkStart w:id="1413" w:name="_Toc17560"/>
      <w:bookmarkStart w:id="1414" w:name="_Toc13485"/>
      <w:r>
        <w:rPr>
          <w:rFonts w:hint="eastAsia" w:ascii="黑体" w:hAnsi="黑体" w:eastAsia="黑体" w:cs="黑体"/>
          <w:sz w:val="36"/>
          <w:szCs w:val="36"/>
        </w:rPr>
        <w:t>第四章</w:t>
      </w:r>
      <w:r>
        <w:rPr>
          <w:rFonts w:ascii="黑体" w:hAnsi="黑体" w:eastAsia="黑体" w:cs="黑体"/>
          <w:sz w:val="36"/>
          <w:szCs w:val="36"/>
        </w:rPr>
        <w:t xml:space="preserve"> </w:t>
      </w:r>
      <w:r>
        <w:rPr>
          <w:rFonts w:hint="eastAsia" w:ascii="黑体" w:hAnsi="黑体" w:eastAsia="黑体" w:cs="黑体"/>
          <w:sz w:val="36"/>
          <w:szCs w:val="36"/>
        </w:rPr>
        <w:t>努力成为构建新发展格局的先行示范者</w:t>
      </w:r>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p>
    <w:p>
      <w:pPr>
        <w:rPr>
          <w:sz w:val="32"/>
        </w:rPr>
      </w:pPr>
    </w:p>
    <w:p>
      <w:pPr>
        <w:spacing w:line="60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eastAsia="仿宋_GB2312"/>
          <w:sz w:val="32"/>
          <w:szCs w:val="32"/>
        </w:rPr>
        <w:t>深入实施扩大内需战略，深化供给侧结构性改革，</w:t>
      </w:r>
      <w:r>
        <w:rPr>
          <w:rFonts w:hint="eastAsia" w:ascii="仿宋_GB2312" w:hAnsi="仿宋_GB2312" w:eastAsia="仿宋_GB2312" w:cs="仿宋_GB2312"/>
          <w:sz w:val="32"/>
          <w:szCs w:val="32"/>
          <w:shd w:val="clear" w:color="auto" w:fill="FFFFFF"/>
        </w:rPr>
        <w:t>提升供给体系对国内需求的适配性，着力引导和创造新需求，</w:t>
      </w:r>
      <w:r>
        <w:rPr>
          <w:rFonts w:hint="eastAsia" w:ascii="仿宋_GB2312" w:hAnsi="宋体" w:eastAsia="仿宋_GB2312"/>
          <w:color w:val="000000" w:themeColor="text1"/>
          <w:sz w:val="32"/>
          <w:szCs w:val="32"/>
          <w14:textFill>
            <w14:solidFill>
              <w14:schemeClr w14:val="tx1"/>
            </w14:solidFill>
          </w14:textFill>
        </w:rPr>
        <w:t>加快形成与国际接轨的制度规则体系</w:t>
      </w:r>
      <w:r>
        <w:rPr>
          <w:rFonts w:hint="eastAsia" w:ascii="仿宋_GB2312" w:hAnsi="仿宋_GB2312" w:eastAsia="仿宋_GB2312" w:cs="仿宋_GB2312"/>
          <w:sz w:val="32"/>
          <w:szCs w:val="32"/>
          <w:shd w:val="clear" w:color="auto" w:fill="FFFFFF"/>
        </w:rPr>
        <w:t>，促进国内国际市场高效链接、双向开放，</w:t>
      </w:r>
      <w:r>
        <w:rPr>
          <w:rFonts w:hint="eastAsia" w:ascii="仿宋_GB2312" w:hAnsi="仿宋_GB2312" w:eastAsia="仿宋_GB2312" w:cs="仿宋_GB2312"/>
          <w:color w:val="000000"/>
          <w:kern w:val="0"/>
          <w:sz w:val="32"/>
          <w:szCs w:val="32"/>
        </w:rPr>
        <w:t>为广东打造新发展格局的战略支点提供强有力支撑</w:t>
      </w:r>
      <w:r>
        <w:rPr>
          <w:rFonts w:hint="eastAsia" w:ascii="仿宋_GB2312" w:hAnsi="宋体" w:eastAsia="仿宋_GB2312"/>
          <w:color w:val="000000" w:themeColor="text1"/>
          <w:sz w:val="32"/>
          <w:szCs w:val="32"/>
          <w14:textFill>
            <w14:solidFill>
              <w14:schemeClr w14:val="tx1"/>
            </w14:solidFill>
          </w14:textFill>
        </w:rPr>
        <w:t>。</w:t>
      </w:r>
    </w:p>
    <w:p>
      <w:pPr>
        <w:spacing w:line="600" w:lineRule="exact"/>
        <w:ind w:firstLine="640"/>
      </w:pPr>
    </w:p>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p>
      <w:pPr>
        <w:spacing w:line="600" w:lineRule="exact"/>
        <w:jc w:val="center"/>
        <w:outlineLvl w:val="2"/>
        <w:rPr>
          <w:rFonts w:ascii="楷体" w:hAnsi="楷体" w:eastAsia="楷体" w:cs="楷体"/>
          <w:b/>
          <w:bCs/>
          <w:color w:val="000000" w:themeColor="text1"/>
          <w:sz w:val="32"/>
          <w:szCs w:val="32"/>
          <w14:textFill>
            <w14:solidFill>
              <w14:schemeClr w14:val="tx1"/>
            </w14:solidFill>
          </w14:textFill>
        </w:rPr>
      </w:pPr>
      <w:bookmarkStart w:id="1415" w:name="_Toc13438"/>
      <w:bookmarkStart w:id="1416" w:name="_Toc8011"/>
      <w:bookmarkStart w:id="1417" w:name="_Toc31893"/>
      <w:bookmarkStart w:id="1418" w:name="_Toc13004"/>
      <w:bookmarkStart w:id="1419" w:name="_Toc14568"/>
      <w:bookmarkStart w:id="1420" w:name="_Toc12527"/>
      <w:bookmarkStart w:id="1421" w:name="_Toc25308"/>
      <w:bookmarkStart w:id="1422" w:name="_Toc18929"/>
      <w:bookmarkStart w:id="1423" w:name="_Toc15394"/>
      <w:bookmarkStart w:id="1424" w:name="_Toc9746"/>
      <w:bookmarkStart w:id="1425" w:name="_Toc25866"/>
      <w:bookmarkStart w:id="1426" w:name="_Toc16899"/>
      <w:bookmarkStart w:id="1427" w:name="_Toc26852"/>
      <w:bookmarkStart w:id="1428" w:name="_Toc17086"/>
      <w:bookmarkStart w:id="1429" w:name="_Toc23436"/>
      <w:bookmarkStart w:id="1430" w:name="_Toc15780"/>
      <w:bookmarkStart w:id="1431" w:name="_Toc7437"/>
      <w:bookmarkStart w:id="1432" w:name="_Toc7718"/>
      <w:bookmarkStart w:id="1433" w:name="_Toc9084"/>
      <w:bookmarkStart w:id="1434" w:name="_Toc11865"/>
      <w:bookmarkStart w:id="1435" w:name="_Toc977"/>
      <w:bookmarkStart w:id="1436" w:name="_Toc8061"/>
      <w:bookmarkStart w:id="1437" w:name="_Toc28766"/>
      <w:bookmarkStart w:id="1438" w:name="_Toc32611"/>
      <w:bookmarkStart w:id="1439" w:name="_Toc31432"/>
      <w:bookmarkStart w:id="1440" w:name="_Toc18706"/>
      <w:bookmarkStart w:id="1441" w:name="_Toc25116"/>
      <w:bookmarkStart w:id="1442" w:name="_Toc10576"/>
      <w:bookmarkStart w:id="1443" w:name="_Toc14016"/>
      <w:bookmarkStart w:id="1444" w:name="_Toc25217"/>
      <w:bookmarkStart w:id="1445" w:name="_Toc18014"/>
      <w:bookmarkStart w:id="1446" w:name="_Toc5038"/>
      <w:bookmarkStart w:id="1447" w:name="_Toc9774"/>
      <w:bookmarkStart w:id="1448" w:name="_Toc27053"/>
      <w:bookmarkStart w:id="1449" w:name="_Toc9890"/>
      <w:bookmarkStart w:id="1450" w:name="_Toc22157"/>
      <w:bookmarkStart w:id="1451" w:name="_Toc19196"/>
      <w:bookmarkStart w:id="1452" w:name="_Toc9268"/>
      <w:bookmarkStart w:id="1453" w:name="_Toc24254"/>
      <w:bookmarkStart w:id="1454" w:name="_Toc25508"/>
      <w:bookmarkStart w:id="1455" w:name="_Toc5882"/>
      <w:bookmarkStart w:id="1456" w:name="_Toc21802"/>
      <w:bookmarkStart w:id="1457" w:name="_Toc23929"/>
      <w:bookmarkStart w:id="1458" w:name="_Toc11000"/>
      <w:bookmarkStart w:id="1459" w:name="_Toc2709"/>
      <w:bookmarkStart w:id="1460" w:name="_Toc12583"/>
      <w:bookmarkStart w:id="1461" w:name="_Toc32267"/>
      <w:bookmarkStart w:id="1462" w:name="_Toc1365"/>
      <w:r>
        <w:rPr>
          <w:rFonts w:hint="eastAsia" w:ascii="楷体" w:hAnsi="楷体" w:eastAsia="楷体" w:cs="楷体"/>
          <w:b/>
          <w:bCs/>
          <w:color w:val="000000" w:themeColor="text1"/>
          <w:sz w:val="32"/>
          <w:szCs w:val="32"/>
          <w14:textFill>
            <w14:solidFill>
              <w14:schemeClr w14:val="tx1"/>
            </w14:solidFill>
          </w14:textFill>
        </w:rPr>
        <w:t>第一节</w:t>
      </w:r>
      <w:r>
        <w:rPr>
          <w:rFonts w:ascii="楷体" w:hAnsi="楷体" w:eastAsia="楷体" w:cs="楷体"/>
          <w:b/>
          <w:bCs/>
          <w:color w:val="000000" w:themeColor="text1"/>
          <w:sz w:val="32"/>
          <w:szCs w:val="32"/>
          <w14:textFill>
            <w14:solidFill>
              <w14:schemeClr w14:val="tx1"/>
            </w14:solidFill>
          </w14:textFill>
        </w:rPr>
        <w:t xml:space="preserve"> </w:t>
      </w:r>
      <w:r>
        <w:rPr>
          <w:rFonts w:hint="eastAsia" w:ascii="楷体" w:hAnsi="楷体" w:eastAsia="楷体" w:cs="楷体"/>
          <w:b/>
          <w:bCs/>
          <w:color w:val="000000" w:themeColor="text1"/>
          <w:sz w:val="32"/>
          <w:szCs w:val="32"/>
          <w14:textFill>
            <w14:solidFill>
              <w14:schemeClr w14:val="tx1"/>
            </w14:solidFill>
          </w14:textFill>
        </w:rPr>
        <w:t>服务国内大循环</w:t>
      </w:r>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p>
    <w:p>
      <w:pPr>
        <w:pStyle w:val="39"/>
        <w:overflowPunct w:val="0"/>
        <w:spacing w:line="600" w:lineRule="exact"/>
        <w:ind w:firstLine="643"/>
        <w:rPr>
          <w:rFonts w:ascii="仿宋_GB2312" w:hAnsi="等线" w:eastAsia="仿宋_GB2312"/>
          <w:sz w:val="32"/>
          <w:szCs w:val="32"/>
        </w:rPr>
      </w:pPr>
      <w:r>
        <w:rPr>
          <w:rFonts w:hint="eastAsia" w:ascii="仿宋_GB2312" w:hAnsi="仿宋_GB2312" w:eastAsia="仿宋_GB2312" w:cs="仿宋_GB2312"/>
          <w:b/>
          <w:bCs/>
          <w:sz w:val="32"/>
          <w:szCs w:val="32"/>
        </w:rPr>
        <w:t>着力提升供给质量。</w:t>
      </w:r>
      <w:r>
        <w:rPr>
          <w:rFonts w:hint="eastAsia" w:ascii="仿宋_GB2312" w:hAnsi="仿宋_GB2312" w:eastAsia="仿宋_GB2312" w:cs="仿宋_GB2312"/>
          <w:sz w:val="32"/>
          <w:szCs w:val="32"/>
        </w:rPr>
        <w:t>依托国内超大规模市场，深化对内经济联系、增加经济纵深，贯通生产、分配、流通、消费各环节。打造一流“深圳质量”，构建先进“深圳标准”，塑造时尚“深圳设计”，提升优质“深圳服务”，树立响亮“深圳品牌”，以高质量产品、高效率服务、高性能供给创造和引领国内市场需求。</w:t>
      </w:r>
      <w:r>
        <w:rPr>
          <w:rFonts w:hint="eastAsia" w:ascii="仿宋_GB2312" w:hAnsi="仿宋_GB2312" w:eastAsia="仿宋_GB2312" w:cs="仿宋_GB2312"/>
          <w:sz w:val="32"/>
          <w:szCs w:val="32"/>
          <w:lang w:val="zh-CN"/>
        </w:rPr>
        <w:t>主动参与国际规则制定，力争在部分优势领域主导标准制定。</w:t>
      </w:r>
      <w:r>
        <w:rPr>
          <w:rFonts w:hint="eastAsia" w:ascii="仿宋_GB2312" w:hAnsi="等线" w:eastAsia="仿宋_GB2312"/>
          <w:sz w:val="32"/>
          <w:szCs w:val="32"/>
        </w:rPr>
        <w:t>支持企业开展自主品牌国际化建设，培育一批世界一流的制造品牌和服务品牌。</w:t>
      </w:r>
      <w:r>
        <w:rPr>
          <w:rFonts w:hint="eastAsia" w:ascii="仿宋_GB2312" w:hAnsi="仿宋_GB2312" w:eastAsia="仿宋_GB2312" w:cs="仿宋_GB2312"/>
          <w:bCs/>
          <w:sz w:val="32"/>
          <w:szCs w:val="32"/>
        </w:rPr>
        <w:t>完善质量基础设施布局，加强标准、计量、专利等体系和能力建设，形成综合性“一站式”服务示范点。</w:t>
      </w:r>
    </w:p>
    <w:p>
      <w:pPr>
        <w:pStyle w:val="39"/>
        <w:overflowPunct w:val="0"/>
        <w:spacing w:line="600" w:lineRule="exact"/>
        <w:ind w:firstLine="643"/>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建设高效集约的国家物流枢纽体系。</w:t>
      </w:r>
      <w:r>
        <w:rPr>
          <w:rFonts w:hint="eastAsia" w:ascii="仿宋_GB2312" w:hAnsi="仿宋_GB2312" w:eastAsia="仿宋_GB2312" w:cs="仿宋_GB2312"/>
          <w:bCs/>
          <w:sz w:val="32"/>
          <w:szCs w:val="32"/>
        </w:rPr>
        <w:t>加快</w:t>
      </w:r>
      <w:r>
        <w:rPr>
          <w:rFonts w:ascii="仿宋_GB2312" w:hAnsi="仿宋_GB2312" w:eastAsia="仿宋_GB2312" w:cs="仿宋_GB2312"/>
          <w:bCs/>
          <w:sz w:val="32"/>
          <w:szCs w:val="32"/>
        </w:rPr>
        <w:t>发展智慧物流、保税物流</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冷链物流，建设国际物流园区和专业物流基地</w:t>
      </w:r>
      <w:r>
        <w:rPr>
          <w:rFonts w:hint="eastAsia" w:ascii="仿宋_GB2312" w:hAnsi="仿宋_GB2312" w:eastAsia="仿宋_GB2312" w:cs="仿宋_GB2312"/>
          <w:bCs/>
          <w:sz w:val="32"/>
          <w:szCs w:val="32"/>
        </w:rPr>
        <w:t>，培育一批具有全球资源配置能力的国际一流平台企业和现代物流供应链企业。</w:t>
      </w:r>
      <w:r>
        <w:rPr>
          <w:rFonts w:hint="eastAsia" w:ascii="仿宋_GB2312" w:hAnsi="仿宋_GB2312" w:eastAsia="仿宋_GB2312" w:cs="仿宋_GB2312"/>
          <w:sz w:val="32"/>
          <w:szCs w:val="32"/>
        </w:rPr>
        <w:t>积极发展无人机（车）物流，发展无接触式的新型社区配送服务，建设绿色货运配送示范城市。</w:t>
      </w:r>
      <w:r>
        <w:rPr>
          <w:rFonts w:hint="eastAsia" w:ascii="仿宋_GB2312" w:hAnsi="仿宋_GB2312" w:eastAsia="仿宋_GB2312" w:cs="仿宋_GB2312"/>
          <w:bCs/>
          <w:sz w:val="32"/>
          <w:szCs w:val="32"/>
        </w:rPr>
        <w:t>增强供应链管理服务功能，促进物流业与制造业深度融合发展。以深圳机场为载体建设深圳空港型国家物流枢纽，加快</w:t>
      </w:r>
      <w:r>
        <w:rPr>
          <w:rFonts w:hint="eastAsia" w:ascii="仿宋_GB2312" w:hAnsi="仿宋_GB2312" w:eastAsia="仿宋_GB2312" w:cs="仿宋_GB2312"/>
          <w:sz w:val="32"/>
          <w:szCs w:val="32"/>
        </w:rPr>
        <w:t>平湖南商贸服务型国家物流枢纽建设。</w:t>
      </w:r>
    </w:p>
    <w:p>
      <w:pPr>
        <w:pStyle w:val="39"/>
        <w:overflowPunct w:val="0"/>
        <w:spacing w:line="600" w:lineRule="exact"/>
        <w:ind w:firstLine="643"/>
        <w:rPr>
          <w:rFonts w:ascii="仿宋_GB2312" w:hAnsi="仿宋_GB2312" w:eastAsia="仿宋_GB2312" w:cs="仿宋_GB2312"/>
          <w:sz w:val="32"/>
          <w:szCs w:val="32"/>
          <w:lang w:val="zh-CN"/>
        </w:rPr>
      </w:pPr>
      <w:r>
        <w:rPr>
          <w:rFonts w:hint="eastAsia" w:ascii="仿宋_GB2312" w:hAnsi="仿宋_GB2312" w:eastAsia="仿宋_GB2312" w:cs="仿宋_GB2312"/>
          <w:b/>
          <w:bCs/>
          <w:sz w:val="32"/>
          <w:szCs w:val="32"/>
        </w:rPr>
        <w:t>打造国际会展之都。</w:t>
      </w:r>
      <w:r>
        <w:rPr>
          <w:rFonts w:hint="eastAsia" w:ascii="仿宋_GB2312" w:hAnsi="仿宋_GB2312" w:eastAsia="仿宋_GB2312" w:cs="仿宋_GB2312"/>
          <w:sz w:val="32"/>
          <w:szCs w:val="32"/>
        </w:rPr>
        <w:t>提升场馆运营服务水平，</w:t>
      </w:r>
      <w:r>
        <w:rPr>
          <w:rFonts w:hint="eastAsia" w:ascii="仿宋_GB2312" w:hAnsi="仿宋_GB2312" w:eastAsia="仿宋_GB2312" w:cs="仿宋_GB2312"/>
          <w:sz w:val="32"/>
          <w:szCs w:val="32"/>
          <w:lang w:val="zh-CN"/>
        </w:rPr>
        <w:t>探索“互联网+会展”线上线下结合新模式，推进会展业国际化、专业化、品牌化发展。</w:t>
      </w:r>
      <w:r>
        <w:rPr>
          <w:rFonts w:hint="eastAsia" w:ascii="仿宋_GB2312" w:hAnsi="仿宋_GB2312" w:eastAsia="仿宋_GB2312" w:cs="仿宋_GB2312"/>
          <w:sz w:val="32"/>
          <w:szCs w:val="32"/>
        </w:rPr>
        <w:t>扩大国际性展览规模，</w:t>
      </w:r>
      <w:r>
        <w:rPr>
          <w:rFonts w:hint="eastAsia" w:ascii="仿宋_GB2312" w:hAnsi="仿宋_GB2312" w:eastAsia="仿宋_GB2312" w:cs="仿宋_GB2312"/>
          <w:sz w:val="32"/>
          <w:szCs w:val="32"/>
          <w:lang w:val="zh-CN"/>
        </w:rPr>
        <w:t>增强高交会、文博会、慈展会等展会影响力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引进一批国际知名办展主体，</w:t>
      </w:r>
      <w:r>
        <w:rPr>
          <w:rFonts w:hint="eastAsia" w:ascii="仿宋_GB2312" w:hAnsi="仿宋_GB2312" w:eastAsia="仿宋_GB2312" w:cs="仿宋_GB2312"/>
          <w:sz w:val="32"/>
          <w:szCs w:val="32"/>
        </w:rPr>
        <w:t>培育一批会展领军企业，构建国家级、国际性、综合型大规模展览和交易平台。引进国际性和国家级重要会议，</w:t>
      </w:r>
      <w:r>
        <w:rPr>
          <w:rFonts w:hint="eastAsia" w:ascii="仿宋_GB2312" w:hAnsi="仿宋_GB2312" w:eastAsia="仿宋_GB2312" w:cs="仿宋_GB2312"/>
          <w:sz w:val="32"/>
          <w:szCs w:val="32"/>
          <w:lang w:val="zh-CN"/>
        </w:rPr>
        <w:t>打造全球知名国际会议目的地。</w:t>
      </w:r>
    </w:p>
    <w:p>
      <w:pPr>
        <w:overflowPunct w:val="0"/>
        <w:spacing w:line="600" w:lineRule="exact"/>
        <w:ind w:firstLine="640"/>
        <w:rPr>
          <w:rFonts w:ascii="仿宋_GB2312" w:hAnsi="仿宋_GB2312" w:eastAsia="仿宋_GB2312" w:cs="仿宋_GB2312"/>
          <w:bCs/>
          <w:color w:val="000000"/>
          <w:sz w:val="32"/>
          <w:szCs w:val="32"/>
        </w:rPr>
      </w:pPr>
      <w:r>
        <w:rPr>
          <w:rFonts w:hint="eastAsia" w:ascii="仿宋_GB2312" w:hAnsi="仿宋_GB2312" w:eastAsia="仿宋_GB2312" w:cs="仿宋_GB2312"/>
          <w:b/>
          <w:color w:val="000000"/>
          <w:sz w:val="32"/>
          <w:szCs w:val="32"/>
        </w:rPr>
        <w:t>全力扩大精准有效投资。</w:t>
      </w:r>
      <w:r>
        <w:rPr>
          <w:rFonts w:hint="eastAsia" w:ascii="仿宋_GB2312" w:hAnsi="仿宋_GB2312" w:eastAsia="仿宋_GB2312" w:cs="仿宋_GB2312"/>
          <w:bCs/>
          <w:color w:val="000000"/>
          <w:sz w:val="32"/>
          <w:szCs w:val="32"/>
        </w:rPr>
        <w:t>优化投资结构，促进投资增长，提升投资效能，更好发挥投资对扩大需求、优化供给的关键作用。加大重大产业项目投资力度，增强先进制造业发展后劲。推动企业设备更新和技术改造，强化工业投资政策激励。加大民生领域投资力度，着力构建社会公共服务多主体参与、多渠道融资、多模式建设、多元化供给新机制。提高政府投资效益质量，持续优化政府投资方向，完善以合同治理为基础的政府投资代建模式。放宽放活社会投资，深化投资审批制度改革，实施企业投资核准范围最小化。规范有序推进</w:t>
      </w:r>
      <w:r>
        <w:rPr>
          <w:rFonts w:hint="eastAsia" w:ascii="仿宋_GB2312" w:hAnsi="仿宋_GB2312" w:eastAsia="仿宋_GB2312" w:cs="仿宋_GB2312"/>
          <w:sz w:val="32"/>
          <w:szCs w:val="32"/>
        </w:rPr>
        <w:t>政府和社会资本合作（PPP）、基础设施领域</w:t>
      </w:r>
      <w:r>
        <w:rPr>
          <w:rFonts w:hint="eastAsia" w:ascii="仿宋_GB2312" w:hAnsi="仿宋_GB2312" w:eastAsia="仿宋_GB2312" w:cs="仿宋_GB2312"/>
          <w:bCs/>
          <w:color w:val="000000"/>
          <w:sz w:val="32"/>
          <w:szCs w:val="32"/>
        </w:rPr>
        <w:t>不动产投资信托基金（REITs）等模式，积极用好开发性政策性金融、保险机构等长期资金。</w:t>
      </w:r>
    </w:p>
    <w:p>
      <w:pPr>
        <w:overflowPunct w:val="0"/>
        <w:spacing w:line="600" w:lineRule="exact"/>
        <w:jc w:val="center"/>
        <w:outlineLvl w:val="2"/>
        <w:rPr>
          <w:rFonts w:ascii="楷体" w:hAnsi="楷体" w:eastAsia="楷体" w:cs="楷体"/>
          <w:b/>
          <w:bCs/>
          <w:color w:val="000000" w:themeColor="text1"/>
          <w:sz w:val="32"/>
          <w:szCs w:val="32"/>
          <w14:textFill>
            <w14:solidFill>
              <w14:schemeClr w14:val="tx1"/>
            </w14:solidFill>
          </w14:textFill>
        </w:rPr>
      </w:pPr>
      <w:bookmarkStart w:id="1463" w:name="_Toc24012"/>
      <w:bookmarkStart w:id="1464" w:name="_Toc23291"/>
      <w:bookmarkStart w:id="1465" w:name="_Toc14990"/>
      <w:bookmarkStart w:id="1466" w:name="_Toc22017"/>
      <w:bookmarkStart w:id="1467" w:name="_Toc7461"/>
      <w:bookmarkStart w:id="1468" w:name="_Toc16184"/>
      <w:bookmarkStart w:id="1469" w:name="_Toc17864"/>
      <w:bookmarkStart w:id="1470" w:name="_Toc17615"/>
      <w:bookmarkStart w:id="1471" w:name="_Toc22974"/>
      <w:bookmarkStart w:id="1472" w:name="_Toc12671"/>
      <w:bookmarkStart w:id="1473" w:name="_Toc19225"/>
      <w:bookmarkStart w:id="1474" w:name="_Toc14439"/>
      <w:bookmarkStart w:id="1475" w:name="_Toc27833"/>
      <w:bookmarkStart w:id="1476" w:name="_Toc10079"/>
      <w:bookmarkStart w:id="1477" w:name="_Toc16118"/>
      <w:bookmarkStart w:id="1478" w:name="_Toc14428"/>
      <w:bookmarkStart w:id="1479" w:name="_Toc5217"/>
      <w:bookmarkStart w:id="1480" w:name="_Toc27263"/>
      <w:bookmarkStart w:id="1481" w:name="_Toc15234"/>
      <w:bookmarkStart w:id="1482" w:name="_Toc903"/>
      <w:bookmarkStart w:id="1483" w:name="_Toc20320"/>
      <w:bookmarkStart w:id="1484" w:name="_Toc16027"/>
      <w:bookmarkStart w:id="1485" w:name="_Toc7638"/>
      <w:bookmarkStart w:id="1486" w:name="_Toc5846"/>
      <w:bookmarkStart w:id="1487" w:name="_Toc16762"/>
      <w:bookmarkStart w:id="1488" w:name="_Toc10515"/>
      <w:bookmarkStart w:id="1489" w:name="_Toc26746"/>
      <w:bookmarkStart w:id="1490" w:name="_Toc12234"/>
      <w:bookmarkStart w:id="1491" w:name="_Toc27081"/>
      <w:bookmarkStart w:id="1492" w:name="_Toc19406"/>
      <w:bookmarkStart w:id="1493" w:name="_Toc1569"/>
      <w:bookmarkStart w:id="1494" w:name="_Toc1757"/>
      <w:bookmarkStart w:id="1495" w:name="_Toc11141"/>
      <w:bookmarkStart w:id="1496" w:name="_Toc13114"/>
      <w:bookmarkStart w:id="1497" w:name="_Toc18345"/>
      <w:bookmarkStart w:id="1498" w:name="_Toc30575"/>
      <w:bookmarkStart w:id="1499" w:name="_Toc27276"/>
      <w:bookmarkStart w:id="1500" w:name="_Toc12081"/>
      <w:bookmarkStart w:id="1501" w:name="_Toc17633"/>
      <w:bookmarkStart w:id="1502" w:name="_Toc30684"/>
      <w:bookmarkStart w:id="1503" w:name="_Toc16439"/>
      <w:bookmarkStart w:id="1504" w:name="_Toc23437"/>
      <w:bookmarkStart w:id="1505" w:name="_Toc23818"/>
      <w:bookmarkStart w:id="1506" w:name="_Toc6806"/>
      <w:bookmarkStart w:id="1507" w:name="_Toc23280"/>
      <w:bookmarkStart w:id="1508" w:name="_Toc29696"/>
      <w:bookmarkStart w:id="1509" w:name="_Toc15342"/>
      <w:bookmarkStart w:id="1510" w:name="_Toc14101"/>
      <w:bookmarkStart w:id="1511" w:name="_Toc14793"/>
      <w:bookmarkStart w:id="1512" w:name="_Toc30292"/>
      <w:bookmarkStart w:id="1513" w:name="_Toc28721"/>
      <w:bookmarkStart w:id="1514" w:name="_Toc20015"/>
      <w:bookmarkStart w:id="1515" w:name="_Toc26790"/>
      <w:bookmarkStart w:id="1516" w:name="_Toc21890"/>
      <w:bookmarkStart w:id="1517" w:name="_Toc21433"/>
      <w:bookmarkStart w:id="1518" w:name="_Toc14599"/>
      <w:bookmarkStart w:id="1519" w:name="_Toc27416"/>
      <w:bookmarkStart w:id="1520" w:name="_Toc23513"/>
      <w:bookmarkStart w:id="1521" w:name="_Toc2160"/>
      <w:bookmarkStart w:id="1522" w:name="_Toc5164"/>
      <w:bookmarkStart w:id="1523" w:name="_Toc1517"/>
      <w:bookmarkStart w:id="1524" w:name="_Toc19527"/>
      <w:bookmarkStart w:id="1525" w:name="_Toc19581"/>
      <w:bookmarkStart w:id="1526" w:name="_Toc13616"/>
      <w:bookmarkStart w:id="1527" w:name="_Toc27727"/>
      <w:bookmarkStart w:id="1528" w:name="_Toc19244"/>
      <w:bookmarkStart w:id="1529" w:name="_Toc30110"/>
      <w:bookmarkStart w:id="1530" w:name="_Toc10431"/>
      <w:bookmarkStart w:id="1531" w:name="_Toc436"/>
      <w:bookmarkStart w:id="1532" w:name="_Toc31867"/>
      <w:bookmarkStart w:id="1533" w:name="_Toc152"/>
      <w:bookmarkStart w:id="1534" w:name="_Toc22878"/>
      <w:bookmarkStart w:id="1535" w:name="_Toc16313"/>
      <w:r>
        <w:rPr>
          <w:rFonts w:hint="eastAsia" w:ascii="楷体" w:hAnsi="楷体" w:eastAsia="楷体" w:cs="楷体"/>
          <w:b/>
          <w:bCs/>
          <w:color w:val="000000" w:themeColor="text1"/>
          <w:sz w:val="32"/>
          <w:szCs w:val="32"/>
          <w14:textFill>
            <w14:solidFill>
              <w14:schemeClr w14:val="tx1"/>
            </w14:solidFill>
          </w14:textFill>
        </w:rPr>
        <w:t xml:space="preserve">第二节 </w:t>
      </w:r>
      <w:bookmarkEnd w:id="1463"/>
      <w:bookmarkEnd w:id="1464"/>
      <w:bookmarkEnd w:id="1465"/>
      <w:r>
        <w:rPr>
          <w:rFonts w:hint="eastAsia" w:ascii="楷体" w:hAnsi="楷体" w:eastAsia="楷体" w:cs="楷体"/>
          <w:b/>
          <w:bCs/>
          <w:color w:val="000000" w:themeColor="text1"/>
          <w:sz w:val="32"/>
          <w:szCs w:val="32"/>
          <w14:textFill>
            <w14:solidFill>
              <w14:schemeClr w14:val="tx1"/>
            </w14:solidFill>
          </w14:textFill>
        </w:rPr>
        <w:t>联通国内国际双循环</w:t>
      </w:r>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p>
    <w:p>
      <w:pPr>
        <w:spacing w:line="60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发展新型国际贸易。</w:t>
      </w:r>
      <w:r>
        <w:rPr>
          <w:rFonts w:hint="eastAsia" w:ascii="仿宋_GB2312" w:hAnsi="仿宋_GB2312" w:eastAsia="仿宋_GB2312" w:cs="仿宋_GB2312"/>
          <w:color w:val="000000" w:themeColor="text1"/>
          <w:sz w:val="32"/>
          <w:szCs w:val="32"/>
          <w14:textFill>
            <w14:solidFill>
              <w14:schemeClr w14:val="tx1"/>
            </w14:solidFill>
          </w14:textFill>
        </w:rPr>
        <w:t>深化服务贸易创新发展试点，构建技术贸易促进机制，探索跨境服务贸易负面清单管理，</w:t>
      </w:r>
      <w:r>
        <w:rPr>
          <w:rFonts w:hint="eastAsia" w:ascii="仿宋_GB2312" w:hAnsi="仿宋_GB2312" w:eastAsia="仿宋_GB2312" w:cs="仿宋_GB2312"/>
          <w:sz w:val="32"/>
          <w:szCs w:val="32"/>
        </w:rPr>
        <w:t>拓展</w:t>
      </w:r>
      <w:r>
        <w:rPr>
          <w:rFonts w:hint="eastAsia" w:ascii="仿宋_GB2312" w:eastAsia="仿宋_GB2312"/>
          <w:sz w:val="32"/>
          <w:szCs w:val="32"/>
        </w:rPr>
        <w:t>检测维修、保税展示交易</w:t>
      </w:r>
      <w:r>
        <w:rPr>
          <w:rFonts w:hint="eastAsia" w:ascii="仿宋_GB2312" w:hAnsi="仿宋_GB2312" w:eastAsia="仿宋_GB2312" w:cs="仿宋_GB2312"/>
          <w:sz w:val="32"/>
          <w:szCs w:val="32"/>
        </w:rPr>
        <w:t>特色服务出口基地，大力发展研发合同外包、软件信息服务等服务贸易。</w:t>
      </w:r>
      <w:r>
        <w:rPr>
          <w:rFonts w:hint="eastAsia" w:ascii="仿宋_GB2312" w:hAnsi="仿宋_GB2312" w:eastAsia="仿宋_GB2312" w:cs="仿宋_GB2312"/>
          <w:color w:val="000000" w:themeColor="text1"/>
          <w:sz w:val="32"/>
          <w:szCs w:val="32"/>
          <w14:textFill>
            <w14:solidFill>
              <w14:schemeClr w14:val="tx1"/>
            </w14:solidFill>
          </w14:textFill>
        </w:rPr>
        <w:t>发展数字贸易新业态，构建数字贸易公共服务平台，打造数字贸易国际枢纽港。做大转口贸易和离岸贸易，加强深港离岸贸易跨境合作，建设新型国际贸易中心。加快推进市场采购贸易试点，完善配套服务和政策措施。加快跨境电子商务综合试验区建设，推动跨境支付便利化试点，创新寄递服务模式，完善跨境电商通关服务平台功能，重点发展跨境物流和海外仓。到2025年，服务贸易进出口总额达1500亿美元。</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加快对外贸易优化升级。</w:t>
      </w:r>
      <w:r>
        <w:rPr>
          <w:rFonts w:hint="eastAsia" w:ascii="仿宋_GB2312" w:hAnsi="仿宋_GB2312" w:eastAsia="仿宋_GB2312" w:cs="仿宋_GB2312"/>
          <w:sz w:val="32"/>
          <w:szCs w:val="32"/>
        </w:rPr>
        <w:t>做强一般贸易，鼓励加工贸易向产业链两端延伸。巩固发达国家市场，扩大新兴市场贸易规模，创新拓展国际市场模式。创新贸易通关制度，</w:t>
      </w:r>
      <w:r>
        <w:rPr>
          <w:rFonts w:hint="eastAsia" w:ascii="仿宋_GB2312" w:hAnsi="仿宋_GB2312" w:eastAsia="仿宋_GB2312" w:cs="仿宋_GB2312"/>
          <w:color w:val="000000" w:themeColor="text1"/>
          <w:sz w:val="32"/>
          <w:szCs w:val="32"/>
          <w14:textFill>
            <w14:solidFill>
              <w14:schemeClr w14:val="tx1"/>
            </w14:solidFill>
          </w14:textFill>
        </w:rPr>
        <w:t>拓展国际贸易“单一窗口”功能。积极发展外贸综合服务业务，推动信息共享和联合监管。建设全球电子元器件集散中心，促进电子元器件国际贸易制度集成创新。</w:t>
      </w:r>
      <w:r>
        <w:rPr>
          <w:rFonts w:hint="eastAsia" w:ascii="仿宋_GB2312" w:hAnsi="仿宋_GB2312" w:eastAsia="仿宋_GB2312" w:cs="仿宋_GB2312"/>
          <w:sz w:val="32"/>
          <w:szCs w:val="32"/>
        </w:rPr>
        <w:t>健全贸易摩擦和纠纷快速协调应对机制，推进企业投资贸易合规体系建设，构建海外利益保护和风险防护体系。</w:t>
      </w:r>
      <w:r>
        <w:rPr>
          <w:rFonts w:hint="eastAsia" w:ascii="仿宋_GB2312" w:hAnsi="仿宋_GB2312" w:eastAsia="仿宋_GB2312" w:cs="仿宋_GB2312"/>
          <w:color w:val="000000" w:themeColor="text1"/>
          <w:sz w:val="32"/>
          <w:szCs w:val="32"/>
          <w14:textFill>
            <w14:solidFill>
              <w14:schemeClr w14:val="tx1"/>
            </w14:solidFill>
          </w14:textFill>
        </w:rPr>
        <w:t>实施更加积极的进口贸易促进战略，建设服务全国、辐射东南亚的进口商品集散地，</w:t>
      </w:r>
      <w:r>
        <w:rPr>
          <w:rFonts w:hint="eastAsia" w:ascii="仿宋_GB2312" w:hAnsi="仿宋_GB2312" w:eastAsia="仿宋_GB2312" w:cs="仿宋_GB2312"/>
          <w:sz w:val="32"/>
          <w:szCs w:val="32"/>
        </w:rPr>
        <w:t>探索设立中国国际进口博览会分会场和举办“一带一路”进口博览会。抓住区域全面经济伙伴关系协定、中欧投资协议实施机遇，深化经贸往来合作。到2025年，货物贸易进出口总额达5000亿美元。</w:t>
      </w:r>
    </w:p>
    <w:p>
      <w:pPr>
        <w:numPr>
          <w:ilvl w:val="255"/>
          <w:numId w:val="0"/>
        </w:numPr>
        <w:spacing w:line="60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建设高水平双向投资枢纽。</w:t>
      </w:r>
      <w:r>
        <w:rPr>
          <w:rFonts w:hint="eastAsia" w:ascii="仿宋_GB2312" w:hAnsi="仿宋_GB2312" w:eastAsia="仿宋_GB2312" w:cs="仿宋_GB2312"/>
          <w:color w:val="000000" w:themeColor="text1"/>
          <w:sz w:val="32"/>
          <w:szCs w:val="32"/>
          <w14:textFill>
            <w14:solidFill>
              <w14:schemeClr w14:val="tx1"/>
            </w14:solidFill>
          </w14:textFill>
        </w:rPr>
        <w:t>全面实施</w:t>
      </w:r>
      <w:r>
        <w:rPr>
          <w:rFonts w:hint="eastAsia" w:ascii="仿宋_GB2312" w:hAnsi="仿宋_GB2312" w:eastAsia="仿宋_GB2312" w:cs="仿宋_GB2312"/>
          <w:sz w:val="32"/>
          <w:szCs w:val="32"/>
        </w:rPr>
        <w:t>外商投资</w:t>
      </w:r>
      <w:r>
        <w:rPr>
          <w:rFonts w:hint="eastAsia" w:ascii="仿宋_GB2312" w:hAnsi="仿宋_GB2312" w:eastAsia="仿宋_GB2312" w:cs="仿宋_GB2312"/>
          <w:color w:val="000000" w:themeColor="text1"/>
          <w:sz w:val="32"/>
          <w:szCs w:val="32"/>
          <w14:textFill>
            <w14:solidFill>
              <w14:schemeClr w14:val="tx1"/>
            </w14:solidFill>
          </w14:textFill>
        </w:rPr>
        <w:t>准入前国民待遇加负面清单管理制度，</w:t>
      </w:r>
      <w:r>
        <w:rPr>
          <w:rFonts w:hint="eastAsia" w:ascii="仿宋_GB2312" w:hAnsi="仿宋_GB2312" w:eastAsia="仿宋_GB2312" w:cs="仿宋_GB2312"/>
          <w:color w:val="000000"/>
          <w:sz w:val="32"/>
          <w:szCs w:val="32"/>
        </w:rPr>
        <w:t>落实外资企业国民待遇。鼓励外资投向</w:t>
      </w:r>
      <w:r>
        <w:rPr>
          <w:rFonts w:hint="eastAsia" w:ascii="仿宋_GB2312" w:hAnsi="仿宋_GB2312" w:eastAsia="仿宋_GB2312" w:cs="仿宋_GB2312"/>
          <w:sz w:val="32"/>
          <w:szCs w:val="32"/>
        </w:rPr>
        <w:t>先进制造业、新兴产业等重点发展领域，支持设立外资研发机构。</w:t>
      </w:r>
      <w:r>
        <w:rPr>
          <w:rFonts w:hint="eastAsia" w:ascii="仿宋_GB2312" w:hAnsi="仿宋_GB2312" w:eastAsia="仿宋_GB2312" w:cs="仿宋_GB2312"/>
          <w:color w:val="000000" w:themeColor="text1"/>
          <w:sz w:val="32"/>
          <w:szCs w:val="32"/>
          <w14:textFill>
            <w14:solidFill>
              <w14:schemeClr w14:val="tx1"/>
            </w14:solidFill>
          </w14:textFill>
        </w:rPr>
        <w:t>优化境外投资管理，完善境外投资支持服务体系，引导企业创新境外投资方式，推动产品、服务、技术、品牌、标准全方位“走出去”</w:t>
      </w:r>
      <w:r>
        <w:rPr>
          <w:rFonts w:hint="eastAsia" w:ascii="仿宋_GB2312" w:hAnsi="仿宋_GB2312" w:eastAsia="仿宋_GB2312" w:cs="仿宋_GB2312"/>
          <w:sz w:val="32"/>
          <w:szCs w:val="32"/>
        </w:rPr>
        <w:t>。到2025年，</w:t>
      </w:r>
      <w:r>
        <w:rPr>
          <w:rFonts w:hint="eastAsia" w:ascii="仿宋_GB2312" w:hAnsi="仿宋_GB2312" w:eastAsia="仿宋_GB2312" w:cs="仿宋_GB2312"/>
          <w:bCs/>
          <w:sz w:val="32"/>
          <w:szCs w:val="32"/>
        </w:rPr>
        <w:t>实际利用外资累计达500亿美元。</w:t>
      </w:r>
    </w:p>
    <w:p>
      <w:pPr>
        <w:spacing w:after="156" w:afterLines="50" w:line="600" w:lineRule="exact"/>
        <w:ind w:firstLine="643" w:firstLineChars="200"/>
        <w:rPr>
          <w:rFonts w:ascii="仿宋_GB2312" w:eastAsia="仿宋_GB2312"/>
          <w:sz w:val="32"/>
          <w:szCs w:val="32"/>
        </w:rPr>
      </w:pPr>
      <w:r>
        <w:rPr>
          <w:rFonts w:hint="eastAsia" w:ascii="仿宋_GB2312" w:eastAsia="仿宋_GB2312"/>
          <w:b/>
          <w:bCs/>
          <w:sz w:val="32"/>
          <w:szCs w:val="32"/>
        </w:rPr>
        <w:t>建设更加开放的自贸试验区。</w:t>
      </w:r>
      <w:r>
        <w:rPr>
          <w:rFonts w:hint="eastAsia" w:ascii="仿宋_GB2312" w:eastAsia="仿宋_GB2312"/>
          <w:sz w:val="32"/>
          <w:szCs w:val="32"/>
        </w:rPr>
        <w:t>对标国际高标准经贸规则，推动前海蛇口自贸片区扩区，探索全域自由贸易试验区建设。围绕更高水平的投资贸易便利、跨境资金往来便利、人才进出自由便利以及有效监管下数据安全有序流动等，持续深化首创性、差别化改革。加大前海蛇口自贸片区开放型经济的风险压力测试力度，建立健全防范化解重大风险机制和体系，探索新型安全开放的实施路径。优化海关特殊监管区域功能布局，</w:t>
      </w:r>
      <w:r>
        <w:rPr>
          <w:rFonts w:hint="eastAsia" w:ascii="仿宋_GB2312" w:hAnsi="仿宋_GB2312" w:eastAsia="仿宋_GB2312" w:cs="仿宋_GB2312"/>
          <w:sz w:val="32"/>
          <w:szCs w:val="32"/>
        </w:rPr>
        <w:t>逐步推广复制自贸试验区监管创新措施</w:t>
      </w:r>
      <w:r>
        <w:rPr>
          <w:rFonts w:hint="eastAsia" w:ascii="仿宋_GB2312" w:eastAsia="仿宋_GB2312"/>
          <w:sz w:val="32"/>
          <w:szCs w:val="32"/>
        </w:rPr>
        <w:t>，加快海关特殊监管区域转型升级。</w:t>
      </w:r>
    </w:p>
    <w:tbl>
      <w:tblPr>
        <w:tblStyle w:val="28"/>
        <w:tblW w:w="8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8018" w:type="dxa"/>
            <w:shd w:val="clear" w:color="auto" w:fill="auto"/>
            <w:vAlign w:val="center"/>
          </w:tcPr>
          <w:p>
            <w:pPr>
              <w:pStyle w:val="43"/>
              <w:overflowPunct w:val="0"/>
              <w:adjustRightInd w:val="0"/>
              <w:snapToGrid w:val="0"/>
              <w:spacing w:line="400" w:lineRule="exact"/>
              <w:ind w:firstLine="0" w:firstLineChars="0"/>
              <w:jc w:val="center"/>
              <w:rPr>
                <w:rFonts w:ascii="宋体" w:hAnsi="宋体" w:cs="宋体"/>
                <w:b/>
                <w:color w:val="000000"/>
                <w:sz w:val="24"/>
                <w:lang w:val="zh-CN"/>
              </w:rPr>
            </w:pPr>
            <w:r>
              <w:rPr>
                <w:rFonts w:hint="eastAsia" w:ascii="宋体" w:hAnsi="宋体" w:cs="宋体"/>
                <w:b/>
                <w:color w:val="000000"/>
                <w:sz w:val="24"/>
                <w:lang w:val="zh-CN"/>
              </w:rPr>
              <w:t>专栏</w:t>
            </w:r>
            <w:r>
              <w:rPr>
                <w:rFonts w:hint="eastAsia" w:ascii="宋体" w:hAnsi="宋体" w:cs="宋体"/>
                <w:b/>
                <w:color w:val="000000"/>
                <w:sz w:val="24"/>
              </w:rPr>
              <w:t>3</w:t>
            </w:r>
            <w:r>
              <w:rPr>
                <w:rFonts w:hint="eastAsia" w:ascii="宋体" w:hAnsi="宋体" w:cs="宋体"/>
                <w:b/>
                <w:color w:val="000000"/>
                <w:sz w:val="24"/>
                <w:lang w:val="zh-CN"/>
              </w:rPr>
              <w:t>：</w:t>
            </w:r>
            <w:r>
              <w:rPr>
                <w:rFonts w:hint="eastAsia" w:ascii="宋体" w:hAnsi="宋体" w:cs="宋体"/>
                <w:b/>
                <w:color w:val="000000"/>
                <w:sz w:val="24"/>
              </w:rPr>
              <w:t>海关特殊监管区域功能布局</w:t>
            </w:r>
          </w:p>
          <w:p>
            <w:pPr>
              <w:pStyle w:val="43"/>
              <w:numPr>
                <w:ilvl w:val="0"/>
                <w:numId w:val="1"/>
              </w:numPr>
              <w:overflowPunct w:val="0"/>
              <w:adjustRightInd w:val="0"/>
              <w:snapToGrid w:val="0"/>
              <w:spacing w:line="400" w:lineRule="exact"/>
              <w:ind w:firstLineChars="0"/>
              <w:rPr>
                <w:rFonts w:ascii="宋体" w:hAnsi="宋体" w:cs="宋体"/>
                <w:bCs/>
                <w:color w:val="000000"/>
                <w:sz w:val="24"/>
                <w:lang w:val="zh-CN"/>
              </w:rPr>
            </w:pPr>
            <w:r>
              <w:rPr>
                <w:rFonts w:hint="eastAsia" w:ascii="宋体" w:hAnsi="宋体" w:cs="宋体"/>
                <w:b/>
                <w:color w:val="000000"/>
                <w:sz w:val="24"/>
                <w:lang w:val="zh-CN"/>
              </w:rPr>
              <w:t>福田保税区：</w:t>
            </w:r>
            <w:r>
              <w:rPr>
                <w:rFonts w:hint="eastAsia" w:ascii="宋体" w:hAnsi="宋体" w:cs="宋体"/>
                <w:bCs/>
                <w:color w:val="000000"/>
                <w:sz w:val="24"/>
                <w:lang w:val="zh-CN"/>
              </w:rPr>
              <w:t>加强深港合作、科技创新，打造更加侧重科技研发支撑和技术应用带动的深港全面深度合作先导区、河套深港科技创新合作区先行区。</w:t>
            </w:r>
          </w:p>
          <w:p>
            <w:pPr>
              <w:pStyle w:val="43"/>
              <w:numPr>
                <w:ilvl w:val="0"/>
                <w:numId w:val="1"/>
              </w:numPr>
              <w:overflowPunct w:val="0"/>
              <w:adjustRightInd w:val="0"/>
              <w:snapToGrid w:val="0"/>
              <w:spacing w:line="400" w:lineRule="exact"/>
              <w:ind w:firstLineChars="0"/>
              <w:rPr>
                <w:rFonts w:ascii="宋体" w:hAnsi="宋体" w:cs="宋体"/>
                <w:bCs/>
                <w:color w:val="000000"/>
                <w:sz w:val="24"/>
                <w:lang w:val="zh-CN"/>
              </w:rPr>
            </w:pPr>
            <w:r>
              <w:rPr>
                <w:rFonts w:hint="eastAsia" w:ascii="宋体" w:hAnsi="宋体" w:cs="宋体"/>
                <w:b/>
                <w:color w:val="000000"/>
                <w:sz w:val="24"/>
                <w:lang w:val="zh-CN"/>
              </w:rPr>
              <w:t>盐田综合保税区：</w:t>
            </w:r>
            <w:r>
              <w:rPr>
                <w:rFonts w:hint="eastAsia" w:ascii="宋体" w:hAnsi="宋体" w:cs="宋体"/>
                <w:bCs/>
                <w:color w:val="000000"/>
                <w:sz w:val="24"/>
                <w:lang w:val="zh-CN"/>
              </w:rPr>
              <w:t>发挥盐田港作为世界级大港的优势，促进区港联动，打造华南远洋集装箱进出口集拼、分拨、配送中心，区域性进口商品采购分销基地和保税研发智造集聚区。</w:t>
            </w:r>
          </w:p>
          <w:p>
            <w:pPr>
              <w:pStyle w:val="43"/>
              <w:numPr>
                <w:ilvl w:val="0"/>
                <w:numId w:val="1"/>
              </w:numPr>
              <w:overflowPunct w:val="0"/>
              <w:adjustRightInd w:val="0"/>
              <w:snapToGrid w:val="0"/>
              <w:spacing w:line="400" w:lineRule="exact"/>
              <w:ind w:firstLineChars="0"/>
              <w:rPr>
                <w:rFonts w:ascii="宋体" w:hAnsi="宋体" w:cs="宋体"/>
                <w:bCs/>
                <w:color w:val="000000"/>
                <w:sz w:val="24"/>
                <w:lang w:val="zh-CN"/>
              </w:rPr>
            </w:pPr>
            <w:r>
              <w:rPr>
                <w:rFonts w:hint="eastAsia" w:ascii="宋体" w:hAnsi="宋体" w:cs="宋体"/>
                <w:b/>
                <w:color w:val="000000"/>
                <w:sz w:val="24"/>
                <w:lang w:val="zh-CN"/>
              </w:rPr>
              <w:t>坪山综合保税区：</w:t>
            </w:r>
            <w:r>
              <w:rPr>
                <w:rFonts w:hint="eastAsia" w:ascii="宋体" w:hAnsi="宋体" w:cs="宋体"/>
                <w:bCs/>
                <w:color w:val="000000"/>
                <w:sz w:val="24"/>
                <w:lang w:val="zh-CN"/>
              </w:rPr>
              <w:t>发展出口加工制造、集成电路国际分拨、高新技术产品检测维修、生物医药保税研发等，培育对高新区坪山园区的产业配套支撑能力，服务深圳东部科技产业创新中心和东部商务集聚区建设。</w:t>
            </w:r>
          </w:p>
          <w:p>
            <w:pPr>
              <w:pStyle w:val="43"/>
              <w:numPr>
                <w:ilvl w:val="0"/>
                <w:numId w:val="1"/>
              </w:numPr>
              <w:overflowPunct w:val="0"/>
              <w:adjustRightInd w:val="0"/>
              <w:snapToGrid w:val="0"/>
              <w:spacing w:line="400" w:lineRule="exact"/>
              <w:ind w:firstLineChars="0"/>
              <w:rPr>
                <w:rFonts w:ascii="宋体" w:hAnsi="宋体" w:cs="宋体"/>
                <w:bCs/>
                <w:color w:val="000000"/>
                <w:sz w:val="24"/>
                <w:lang w:val="zh-CN"/>
              </w:rPr>
            </w:pPr>
            <w:r>
              <w:rPr>
                <w:rFonts w:hint="eastAsia" w:ascii="宋体" w:hAnsi="宋体" w:cs="宋体"/>
                <w:b/>
                <w:color w:val="000000"/>
                <w:sz w:val="24"/>
                <w:lang w:val="zh-CN"/>
              </w:rPr>
              <w:t>前海综合保税区：</w:t>
            </w:r>
            <w:r>
              <w:rPr>
                <w:rFonts w:hint="eastAsia" w:ascii="宋体" w:hAnsi="宋体" w:cs="宋体"/>
                <w:bCs/>
                <w:color w:val="000000"/>
                <w:sz w:val="24"/>
                <w:lang w:val="zh-CN"/>
              </w:rPr>
              <w:t>打造面向亚太地区的国际贸易服务平台、国际供应链管理中心、港深国际航运平台。</w:t>
            </w:r>
          </w:p>
          <w:p>
            <w:pPr>
              <w:pStyle w:val="43"/>
              <w:numPr>
                <w:ilvl w:val="0"/>
                <w:numId w:val="1"/>
              </w:numPr>
              <w:overflowPunct w:val="0"/>
              <w:adjustRightInd w:val="0"/>
              <w:snapToGrid w:val="0"/>
              <w:spacing w:line="400" w:lineRule="exact"/>
              <w:ind w:firstLineChars="0"/>
              <w:rPr>
                <w:rFonts w:ascii="宋体" w:hAnsi="宋体" w:cs="宋体"/>
                <w:b/>
                <w:color w:val="000000"/>
                <w:sz w:val="24"/>
                <w:lang w:val="zh-CN"/>
              </w:rPr>
            </w:pPr>
            <w:r>
              <w:rPr>
                <w:rFonts w:hint="eastAsia" w:ascii="宋体" w:hAnsi="宋体" w:cs="宋体"/>
                <w:b/>
                <w:color w:val="000000"/>
                <w:sz w:val="24"/>
                <w:lang w:val="zh-CN"/>
              </w:rPr>
              <w:t>空港综合保税区（拟设）：</w:t>
            </w:r>
            <w:r>
              <w:rPr>
                <w:rFonts w:hint="eastAsia" w:ascii="宋体" w:hAnsi="宋体" w:cs="宋体"/>
                <w:bCs/>
                <w:color w:val="000000"/>
                <w:sz w:val="24"/>
                <w:lang w:val="zh-CN"/>
              </w:rPr>
              <w:t>培育空港“保税+”产业集群，打造亚太空港保税产业创新示范区、国际航空货物集散基地、前海合作区的空港延伸区，支撑深圳机场打造国际航空枢纽。</w:t>
            </w:r>
          </w:p>
        </w:tc>
      </w:tr>
    </w:tbl>
    <w:p>
      <w:pPr>
        <w:spacing w:line="580" w:lineRule="exact"/>
        <w:ind w:firstLine="643" w:firstLineChars="200"/>
        <w:jc w:val="left"/>
        <w:rPr>
          <w:rFonts w:ascii="仿宋_GB2312" w:eastAsia="仿宋_GB2312"/>
          <w:b/>
          <w:bCs/>
          <w:sz w:val="32"/>
          <w:szCs w:val="32"/>
        </w:rPr>
      </w:pPr>
      <w:bookmarkStart w:id="1536" w:name="_Toc10960"/>
      <w:bookmarkStart w:id="1537" w:name="_Toc6528"/>
      <w:bookmarkStart w:id="1538" w:name="_Toc22052"/>
      <w:bookmarkStart w:id="1539" w:name="_Toc29548"/>
      <w:bookmarkStart w:id="1540" w:name="_Toc10297"/>
      <w:bookmarkStart w:id="1541" w:name="_Toc20297"/>
      <w:bookmarkStart w:id="1542" w:name="_Toc18334"/>
      <w:bookmarkStart w:id="1543" w:name="_Toc1413"/>
      <w:bookmarkStart w:id="1544" w:name="_Toc3357"/>
      <w:bookmarkStart w:id="1545" w:name="_Toc11967"/>
      <w:bookmarkStart w:id="1546" w:name="_Toc19613"/>
      <w:bookmarkStart w:id="1547" w:name="_Toc3748"/>
      <w:bookmarkStart w:id="1548" w:name="_Toc13296"/>
      <w:bookmarkStart w:id="1549" w:name="_Toc31279"/>
      <w:bookmarkStart w:id="1550" w:name="_Toc3282"/>
      <w:bookmarkStart w:id="1551" w:name="_Toc16138"/>
      <w:bookmarkStart w:id="1552" w:name="_Toc16370"/>
      <w:bookmarkStart w:id="1553" w:name="_Toc22562"/>
      <w:bookmarkStart w:id="1554" w:name="_Toc22807"/>
      <w:bookmarkStart w:id="1555" w:name="_Toc17979"/>
      <w:bookmarkStart w:id="1556" w:name="_Toc32285"/>
      <w:bookmarkStart w:id="1557" w:name="_Toc24031"/>
      <w:bookmarkStart w:id="1558" w:name="_Toc30335"/>
      <w:bookmarkStart w:id="1559" w:name="_Toc967"/>
      <w:bookmarkStart w:id="1560" w:name="_Toc24645"/>
      <w:bookmarkStart w:id="1561" w:name="_Toc28710"/>
      <w:bookmarkStart w:id="1562" w:name="_Toc12788"/>
      <w:bookmarkStart w:id="1563" w:name="_Toc501"/>
      <w:bookmarkStart w:id="1564" w:name="_Toc28191"/>
      <w:bookmarkStart w:id="1565" w:name="_Toc3878"/>
      <w:bookmarkStart w:id="1566" w:name="_Toc13384"/>
      <w:bookmarkStart w:id="1567" w:name="_Toc18672"/>
      <w:bookmarkStart w:id="1568" w:name="_Toc16145"/>
      <w:bookmarkStart w:id="1569" w:name="_Toc31801"/>
      <w:bookmarkStart w:id="1570" w:name="_Toc1599"/>
      <w:bookmarkStart w:id="1571" w:name="_Toc27300"/>
      <w:bookmarkStart w:id="1572" w:name="_Toc10915"/>
      <w:bookmarkStart w:id="1573" w:name="_Toc23275"/>
      <w:bookmarkStart w:id="1574" w:name="_Toc14245"/>
      <w:bookmarkStart w:id="1575" w:name="_Toc5789"/>
      <w:bookmarkStart w:id="1576" w:name="_Toc13149"/>
      <w:bookmarkStart w:id="1577" w:name="_Toc25932"/>
      <w:bookmarkStart w:id="1578" w:name="_Toc32100"/>
      <w:bookmarkStart w:id="1579" w:name="_Toc8642"/>
      <w:bookmarkStart w:id="1580" w:name="_Toc11054"/>
      <w:bookmarkStart w:id="1581" w:name="_Toc28268"/>
      <w:bookmarkStart w:id="1582" w:name="_Toc24711"/>
      <w:bookmarkStart w:id="1583" w:name="_Toc2178"/>
      <w:bookmarkStart w:id="1584" w:name="_Toc7924"/>
      <w:bookmarkStart w:id="1585" w:name="_Toc24601"/>
      <w:bookmarkStart w:id="1586" w:name="_Toc13203"/>
      <w:bookmarkStart w:id="1587" w:name="_Toc26274"/>
      <w:bookmarkStart w:id="1588" w:name="_Toc28434"/>
      <w:bookmarkStart w:id="1589" w:name="_Toc16956"/>
    </w:p>
    <w:p>
      <w:pPr>
        <w:spacing w:line="580" w:lineRule="exact"/>
        <w:jc w:val="center"/>
        <w:outlineLvl w:val="2"/>
        <w:rPr>
          <w:rFonts w:ascii="楷体" w:hAnsi="楷体" w:eastAsia="楷体" w:cs="楷体"/>
          <w:b/>
          <w:bCs/>
          <w:color w:val="000000" w:themeColor="text1"/>
          <w:sz w:val="32"/>
          <w:szCs w:val="32"/>
          <w14:textFill>
            <w14:solidFill>
              <w14:schemeClr w14:val="tx1"/>
            </w14:solidFill>
          </w14:textFill>
        </w:rPr>
      </w:pPr>
      <w:bookmarkStart w:id="1590" w:name="_Toc15029"/>
      <w:bookmarkStart w:id="1591" w:name="_Toc10350"/>
      <w:bookmarkStart w:id="1592" w:name="_Toc7441"/>
      <w:bookmarkStart w:id="1593" w:name="_Toc29996"/>
      <w:bookmarkStart w:id="1594" w:name="_Toc15635"/>
      <w:bookmarkStart w:id="1595" w:name="_Toc32571"/>
      <w:bookmarkStart w:id="1596" w:name="_Toc19588"/>
      <w:bookmarkStart w:id="1597" w:name="_Toc14333"/>
      <w:bookmarkStart w:id="1598" w:name="_Toc5779"/>
      <w:bookmarkStart w:id="1599" w:name="_Toc31564"/>
      <w:bookmarkStart w:id="1600" w:name="_Toc10856"/>
      <w:bookmarkStart w:id="1601" w:name="_Toc20004"/>
      <w:bookmarkStart w:id="1602" w:name="_Toc3529"/>
      <w:bookmarkStart w:id="1603" w:name="_Toc11011"/>
      <w:bookmarkStart w:id="1604" w:name="_Toc6237"/>
      <w:bookmarkStart w:id="1605" w:name="_Toc20987"/>
      <w:bookmarkStart w:id="1606" w:name="_Toc5197"/>
      <w:bookmarkStart w:id="1607" w:name="_Toc15102"/>
      <w:bookmarkStart w:id="1608" w:name="_Toc7066"/>
      <w:r>
        <w:rPr>
          <w:rFonts w:hint="eastAsia" w:ascii="楷体" w:hAnsi="楷体" w:eastAsia="楷体" w:cs="楷体"/>
          <w:b/>
          <w:bCs/>
          <w:color w:val="000000" w:themeColor="text1"/>
          <w:sz w:val="32"/>
          <w:szCs w:val="32"/>
          <w14:textFill>
            <w14:solidFill>
              <w14:schemeClr w14:val="tx1"/>
            </w14:solidFill>
          </w14:textFill>
        </w:rPr>
        <w:t>第三节 深度参与“一带一路”建设</w:t>
      </w:r>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p>
    <w:p>
      <w:pPr>
        <w:pStyle w:val="8"/>
        <w:overflowPunct w:val="0"/>
        <w:spacing w:line="580" w:lineRule="exact"/>
        <w:ind w:firstLine="643"/>
        <w:rPr>
          <w:rFonts w:ascii="Times New Roman" w:hAnsi="Times New Roman" w:eastAsia="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深化国际经贸和产能合作。</w:t>
      </w:r>
      <w:r>
        <w:rPr>
          <w:rFonts w:hint="eastAsia" w:ascii="仿宋_GB2312" w:hAnsi="仿宋_GB2312" w:eastAsia="仿宋_GB2312" w:cs="仿宋_GB2312"/>
          <w:color w:val="000000" w:themeColor="text1"/>
          <w:sz w:val="32"/>
          <w:szCs w:val="32"/>
          <w14:textFill>
            <w14:solidFill>
              <w14:schemeClr w14:val="tx1"/>
            </w14:solidFill>
          </w14:textFill>
        </w:rPr>
        <w:t>推动在沿线国家境外园区的产能合作项目提质发展，鼓励深圳制造优势与港澳国际经贸网络等优势相结合，支持企业联合新建或升级一批境外园区，推进中缅经</w:t>
      </w:r>
      <w:r>
        <w:rPr>
          <w:rFonts w:hint="eastAsia" w:ascii="仿宋_GB2312" w:hAnsi="仿宋_GB2312" w:eastAsia="仿宋_GB2312" w:cs="仿宋_GB2312"/>
          <w:sz w:val="32"/>
          <w:szCs w:val="32"/>
        </w:rPr>
        <w:t>济</w:t>
      </w:r>
      <w:r>
        <w:rPr>
          <w:rFonts w:hint="eastAsia" w:ascii="仿宋_GB2312" w:hAnsi="仿宋_GB2312" w:eastAsia="仿宋_GB2312" w:cs="仿宋_GB2312"/>
          <w:color w:val="000000" w:themeColor="text1"/>
          <w:sz w:val="32"/>
          <w:szCs w:val="32"/>
          <w14:textFill>
            <w14:solidFill>
              <w14:schemeClr w14:val="tx1"/>
            </w14:solidFill>
          </w14:textFill>
        </w:rPr>
        <w:t>走廊、中越经贸合作区等建设。推进与巴布亚新几内亚点对点合作。深入推进第三方市场合作，重点培育东南亚、南亚、中东、非洲等目标市场。</w:t>
      </w:r>
      <w:r>
        <w:rPr>
          <w:rFonts w:hint="eastAsia" w:ascii="仿宋_GB2312" w:hAnsi="仿宋_GB2312" w:eastAsia="仿宋_GB2312" w:cs="仿宋_GB2312"/>
          <w:sz w:val="32"/>
          <w:szCs w:val="32"/>
        </w:rPr>
        <w:t>构建植根深圳、面向全球的国际经贸合作网络，鼓励</w:t>
      </w:r>
      <w:r>
        <w:rPr>
          <w:rFonts w:hint="eastAsia" w:ascii="Times New Roman" w:hAnsi="Times New Roman" w:eastAsia="仿宋_GB2312"/>
          <w:color w:val="000000" w:themeColor="text1"/>
          <w:sz w:val="32"/>
          <w:szCs w:val="32"/>
          <w14:textFill>
            <w14:solidFill>
              <w14:schemeClr w14:val="tx1"/>
            </w14:solidFill>
          </w14:textFill>
        </w:rPr>
        <w:t>金融机构与沿线国家和地区的金融机构开展合作，</w:t>
      </w:r>
      <w:r>
        <w:rPr>
          <w:rFonts w:hint="eastAsia" w:ascii="仿宋_GB2312" w:hAnsi="仿宋_GB2312" w:eastAsia="仿宋_GB2312" w:cs="仿宋_GB2312"/>
          <w:sz w:val="32"/>
          <w:szCs w:val="32"/>
        </w:rPr>
        <w:t>完善出口信用保险支持政策。</w:t>
      </w:r>
    </w:p>
    <w:p>
      <w:pPr>
        <w:overflowPunct w:val="0"/>
        <w:spacing w:line="58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推进基础设施互联互通。</w:t>
      </w:r>
      <w:r>
        <w:rPr>
          <w:rStyle w:val="37"/>
          <w:rFonts w:hint="eastAsia" w:ascii="仿宋_GB2312" w:eastAsia="仿宋_GB2312"/>
          <w:bCs/>
          <w:color w:val="000000"/>
          <w:sz w:val="32"/>
          <w:szCs w:val="32"/>
        </w:rPr>
        <w:t>鼓励</w:t>
      </w:r>
      <w:r>
        <w:rPr>
          <w:rFonts w:hint="eastAsia" w:ascii="仿宋_GB2312" w:hAnsi="仿宋_GB2312" w:eastAsia="仿宋_GB2312" w:cs="仿宋_GB2312"/>
          <w:bCs/>
          <w:sz w:val="32"/>
          <w:szCs w:val="32"/>
        </w:rPr>
        <w:t>企业开展智慧城市领域国际合作，参与信息基础设施互联互通建设，</w:t>
      </w:r>
      <w:r>
        <w:rPr>
          <w:rFonts w:hint="eastAsia" w:ascii="仿宋_GB2312" w:hAnsi="仿宋_GB2312" w:eastAsia="仿宋_GB2312" w:cs="仿宋_GB2312"/>
          <w:sz w:val="32"/>
          <w:szCs w:val="32"/>
        </w:rPr>
        <w:t>推进数字丝绸之路务实合作，加快空间信息走廊建设与应用</w:t>
      </w:r>
      <w:r>
        <w:rPr>
          <w:rStyle w:val="37"/>
          <w:rFonts w:hint="eastAsia" w:ascii="仿宋_GB2312" w:eastAsia="仿宋_GB2312"/>
          <w:bCs/>
          <w:color w:val="000000"/>
          <w:sz w:val="32"/>
          <w:szCs w:val="32"/>
        </w:rPr>
        <w:t>。推进与“一带一路”沿线国家和地区重要港口合作，支持企业在重要港口建设“前港后城”。加强空中丝绸之路建设，支持企业参与沿线国家和地区机场投资运营。</w:t>
      </w:r>
      <w:r>
        <w:rPr>
          <w:rFonts w:hint="eastAsia" w:ascii="仿宋_GB2312" w:hAnsi="仿宋_GB2312" w:eastAsia="仿宋_GB2312" w:cs="仿宋_GB2312"/>
          <w:color w:val="000000" w:themeColor="text1"/>
          <w:sz w:val="32"/>
          <w:szCs w:val="32"/>
          <w14:textFill>
            <w14:solidFill>
              <w14:schemeClr w14:val="tx1"/>
            </w14:solidFill>
          </w14:textFill>
        </w:rPr>
        <w:t>加强能源资源开发合作，鼓励企业参与沿线国家和地区能源基础设施建设。加快建设深圳中欧班列铁路货运大通道，打造粤港澳大湾区-中亚-东欧-西欧国际陆上物流新通道。</w:t>
      </w:r>
    </w:p>
    <w:p>
      <w:pPr>
        <w:numPr>
          <w:ilvl w:val="255"/>
          <w:numId w:val="0"/>
        </w:numPr>
        <w:spacing w:line="580" w:lineRule="exact"/>
        <w:ind w:firstLine="643"/>
        <w:rPr>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强化人文交流合作。</w:t>
      </w:r>
      <w:r>
        <w:rPr>
          <w:rFonts w:hint="eastAsia" w:ascii="仿宋_GB2312" w:hAnsi="仿宋_GB2312" w:eastAsia="仿宋_GB2312" w:cs="仿宋_GB2312"/>
          <w:color w:val="000000" w:themeColor="text1"/>
          <w:sz w:val="32"/>
          <w:szCs w:val="32"/>
          <w14:textFill>
            <w14:solidFill>
              <w14:schemeClr w14:val="tx1"/>
            </w14:solidFill>
          </w14:textFill>
        </w:rPr>
        <w:t>积极参与“一带一路”多边、双边机制，加强文化、旅游、教育、人才、科技、医疗等多领域人文交流。积极参与健康丝绸之路建设，为公共卫生治理贡献“深圳智慧”。做优做精“一带一路”国际音乐季等活动，开辟更多邮轮旅游线路。推进绿色丝绸之路建设，加强在应对气候变化、荒漠化防治等方面的国际交流合作。深化智库交流合作，加强对沿线国家和地区投资环境、投资政策等全方位多层次研究。深入参与援外合作，推动与沿线国家和地区“民心相通”。</w:t>
      </w:r>
    </w:p>
    <w:p>
      <w:pPr>
        <w:numPr>
          <w:ilvl w:val="255"/>
          <w:numId w:val="0"/>
        </w:numPr>
        <w:spacing w:line="580" w:lineRule="exact"/>
        <w:ind w:firstLine="643"/>
        <w:jc w:val="left"/>
      </w:pPr>
    </w:p>
    <w:p>
      <w:pPr>
        <w:spacing w:line="580" w:lineRule="exact"/>
        <w:jc w:val="center"/>
        <w:outlineLvl w:val="2"/>
        <w:rPr>
          <w:rFonts w:ascii="楷体" w:hAnsi="楷体" w:eastAsia="楷体" w:cs="楷体"/>
          <w:b/>
          <w:bCs/>
          <w:color w:val="000000" w:themeColor="text1"/>
          <w:sz w:val="32"/>
          <w:szCs w:val="32"/>
          <w14:textFill>
            <w14:solidFill>
              <w14:schemeClr w14:val="tx1"/>
            </w14:solidFill>
          </w14:textFill>
        </w:rPr>
      </w:pPr>
      <w:bookmarkStart w:id="1609" w:name="_Toc11983"/>
      <w:bookmarkStart w:id="1610" w:name="_Toc20468"/>
      <w:bookmarkStart w:id="1611" w:name="_Toc31529"/>
      <w:bookmarkStart w:id="1612" w:name="_Toc18389"/>
      <w:bookmarkStart w:id="1613" w:name="_Toc29121"/>
      <w:bookmarkStart w:id="1614" w:name="_Toc27151"/>
      <w:bookmarkStart w:id="1615" w:name="_Toc5153"/>
      <w:bookmarkStart w:id="1616" w:name="_Toc15188"/>
      <w:bookmarkStart w:id="1617" w:name="_Toc31881"/>
      <w:bookmarkStart w:id="1618" w:name="_Toc21658"/>
      <w:bookmarkStart w:id="1619" w:name="_Toc9508"/>
      <w:bookmarkStart w:id="1620" w:name="_Toc17039"/>
      <w:bookmarkStart w:id="1621" w:name="_Toc4436"/>
      <w:bookmarkStart w:id="1622" w:name="_Toc22348"/>
      <w:bookmarkStart w:id="1623" w:name="_Toc26619"/>
      <w:bookmarkStart w:id="1624" w:name="_Toc4758"/>
      <w:bookmarkStart w:id="1625" w:name="_Toc32116"/>
      <w:bookmarkStart w:id="1626" w:name="_Toc4496"/>
      <w:bookmarkStart w:id="1627" w:name="_Toc24730"/>
      <w:bookmarkStart w:id="1628" w:name="_Toc16631"/>
      <w:bookmarkStart w:id="1629" w:name="_Toc6667"/>
      <w:bookmarkStart w:id="1630" w:name="_Toc3049"/>
      <w:bookmarkStart w:id="1631" w:name="_Toc27294"/>
      <w:bookmarkStart w:id="1632" w:name="_Toc32534"/>
      <w:bookmarkStart w:id="1633" w:name="_Toc11209"/>
      <w:bookmarkStart w:id="1634" w:name="_Toc5419"/>
      <w:bookmarkStart w:id="1635" w:name="_Toc9775"/>
      <w:bookmarkStart w:id="1636" w:name="_Toc19341"/>
      <w:bookmarkStart w:id="1637" w:name="_Toc14887"/>
      <w:bookmarkStart w:id="1638" w:name="_Toc28658"/>
      <w:bookmarkStart w:id="1639" w:name="_Toc13335"/>
      <w:bookmarkStart w:id="1640" w:name="_Toc27522"/>
      <w:r>
        <w:rPr>
          <w:rFonts w:hint="eastAsia" w:ascii="楷体" w:hAnsi="楷体" w:eastAsia="楷体" w:cs="楷体"/>
          <w:b/>
          <w:bCs/>
          <w:color w:val="000000" w:themeColor="text1"/>
          <w:sz w:val="32"/>
          <w:szCs w:val="32"/>
          <w14:textFill>
            <w14:solidFill>
              <w14:schemeClr w14:val="tx1"/>
            </w14:solidFill>
          </w14:textFill>
        </w:rPr>
        <w:t>第四节 建设国际消费中心城市</w:t>
      </w:r>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p>
    <w:p>
      <w:pPr>
        <w:spacing w:line="580" w:lineRule="exact"/>
        <w:ind w:firstLine="643" w:firstLineChars="200"/>
        <w:rPr>
          <w:rFonts w:ascii="仿宋_GB2312" w:eastAsia="仿宋_GB2312"/>
          <w:sz w:val="32"/>
          <w:szCs w:val="32"/>
        </w:rPr>
      </w:pPr>
      <w:r>
        <w:rPr>
          <w:rFonts w:hint="eastAsia" w:ascii="仿宋_GB2312" w:hAnsi="仿宋_GB2312" w:eastAsia="仿宋_GB2312" w:cs="仿宋_GB2312"/>
          <w:b/>
          <w:bCs/>
          <w:sz w:val="32"/>
          <w:szCs w:val="32"/>
        </w:rPr>
        <w:t>培育壮大消费新业态新模式。</w:t>
      </w:r>
      <w:r>
        <w:rPr>
          <w:rFonts w:hint="eastAsia" w:ascii="仿宋_GB2312" w:hAnsi="仿宋_GB2312" w:eastAsia="仿宋_GB2312" w:cs="仿宋_GB2312"/>
          <w:sz w:val="32"/>
          <w:szCs w:val="32"/>
        </w:rPr>
        <w:t>实施扩大内需促进消费计划，</w:t>
      </w:r>
      <w:r>
        <w:rPr>
          <w:rFonts w:hint="eastAsia" w:ascii="仿宋_GB2312" w:hAnsi="仿宋_GB2312" w:eastAsia="仿宋_GB2312" w:cs="仿宋_GB2312"/>
          <w:sz w:val="32"/>
          <w:szCs w:val="32"/>
          <w:lang w:val="zh-CN"/>
        </w:rPr>
        <w:t>放宽服务消费领域准入条件，</w:t>
      </w:r>
      <w:r>
        <w:rPr>
          <w:rFonts w:hint="eastAsia" w:ascii="仿宋_GB2312" w:hAnsi="仿宋_GB2312" w:eastAsia="仿宋_GB2312" w:cs="仿宋_GB2312"/>
          <w:sz w:val="32"/>
          <w:szCs w:val="32"/>
        </w:rPr>
        <w:t>提升文化、旅游、体育、健康、教育、养老、家政等领域消费品质。培育定制消费、智能消费、时尚消费等商业新模式，</w:t>
      </w:r>
      <w:r>
        <w:rPr>
          <w:rFonts w:hint="eastAsia" w:ascii="仿宋_GB2312" w:hAnsi="仿宋_GB2312" w:eastAsia="仿宋_GB2312" w:cs="仿宋_GB2312"/>
          <w:bCs/>
          <w:sz w:val="32"/>
          <w:szCs w:val="32"/>
        </w:rPr>
        <w:t>推动</w:t>
      </w:r>
      <w:r>
        <w:rPr>
          <w:rFonts w:ascii="仿宋_GB2312" w:hAnsi="仿宋_GB2312" w:eastAsia="仿宋_GB2312" w:cs="仿宋_GB2312"/>
          <w:bCs/>
          <w:sz w:val="32"/>
          <w:szCs w:val="32"/>
        </w:rPr>
        <w:t>信息消费升级</w:t>
      </w:r>
      <w:r>
        <w:rPr>
          <w:rFonts w:hint="eastAsia" w:ascii="仿宋_GB2312" w:hAnsi="仿宋_GB2312" w:eastAsia="仿宋_GB2312" w:cs="仿宋_GB2312"/>
          <w:bCs/>
          <w:sz w:val="32"/>
          <w:szCs w:val="32"/>
        </w:rPr>
        <w:t>。推进零售业数字化，</w:t>
      </w:r>
      <w:r>
        <w:rPr>
          <w:rFonts w:hint="eastAsia" w:ascii="仿宋_GB2312" w:hAnsi="仿宋_GB2312" w:eastAsia="仿宋_GB2312" w:cs="仿宋_GB2312"/>
          <w:sz w:val="32"/>
          <w:szCs w:val="32"/>
          <w:lang w:val="zh-CN"/>
        </w:rPr>
        <w:t>创新“线上引流＋实体消费”等销售模式，发展网络直播、互动娱乐、</w:t>
      </w:r>
      <w:r>
        <w:rPr>
          <w:rFonts w:hint="eastAsia" w:ascii="仿宋_GB2312" w:hAnsi="仿宋_GB2312" w:eastAsia="仿宋_GB2312" w:cs="仿宋_GB2312"/>
          <w:sz w:val="32"/>
          <w:szCs w:val="32"/>
        </w:rPr>
        <w:t>体验消费。</w:t>
      </w:r>
      <w:r>
        <w:rPr>
          <w:rFonts w:hint="eastAsia" w:ascii="仿宋_GB2312" w:hAnsi="仿宋_GB2312" w:eastAsia="仿宋_GB2312" w:cs="仿宋_GB2312"/>
          <w:sz w:val="32"/>
          <w:szCs w:val="32"/>
          <w:lang w:val="zh-CN"/>
        </w:rPr>
        <w:t>引进一批综合性电子商务平台，培育</w:t>
      </w:r>
      <w:r>
        <w:rPr>
          <w:rFonts w:hint="eastAsia" w:ascii="仿宋_GB2312" w:hAnsi="仿宋_GB2312" w:eastAsia="仿宋_GB2312" w:cs="仿宋_GB2312"/>
          <w:sz w:val="32"/>
          <w:szCs w:val="32"/>
        </w:rPr>
        <w:t>1-2家新零售领头羊企业，</w:t>
      </w:r>
      <w:r>
        <w:rPr>
          <w:rFonts w:hint="eastAsia" w:ascii="仿宋_GB2312" w:hAnsi="仿宋_GB2312" w:eastAsia="仿宋_GB2312" w:cs="仿宋_GB2312"/>
          <w:sz w:val="32"/>
          <w:szCs w:val="32"/>
          <w:lang w:val="zh-CN"/>
        </w:rPr>
        <w:t>建立新型平台经济生态体系。促进实物消费提档升级，推动汽车等消费品由购买管理向使用管理转变。大力繁荣夜间经济，建设夜间经济示范街区。打造“鹏城八月欢乐游购”等系列购物活动品牌。到2025年，社会消费品零售总额达1.2</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zh-CN"/>
        </w:rPr>
        <w:t>万亿元。</w:t>
      </w:r>
    </w:p>
    <w:p>
      <w:pPr>
        <w:overflowPunct w:val="0"/>
        <w:adjustRightInd w:val="0"/>
        <w:snapToGrid w:val="0"/>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提升消费基础设施水平。</w:t>
      </w:r>
      <w:r>
        <w:rPr>
          <w:rFonts w:hint="eastAsia" w:ascii="仿宋_GB2312" w:hAnsi="仿宋_GB2312" w:eastAsia="仿宋_GB2312" w:cs="仿宋_GB2312"/>
          <w:sz w:val="32"/>
          <w:szCs w:val="32"/>
        </w:rPr>
        <w:t>推进香蜜湖国际高端消费区、南山后海超级商业区、华强北商业区等商圈建设，高标准推进罗湖东门步行街改造提升，推动线下经营实体向场景化、体验式、互动性、综合型消费场所转型，打造世界级地标性商圈。完善商业网点布局体系，推动区域商业多元化、差异化发展。建设高端专业消费市场，引导国内外知名品牌设立全球性、全国性和区域性的品牌首店，支持举办时尚秀和新品发布会，打造国内品牌“世界橱窗”。</w:t>
      </w:r>
    </w:p>
    <w:p>
      <w:pPr>
        <w:overflowPunct w:val="0"/>
        <w:adjustRightInd w:val="0"/>
        <w:snapToGrid w:val="0"/>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深度拓展国内消费市场。</w:t>
      </w:r>
      <w:r>
        <w:rPr>
          <w:rFonts w:hint="eastAsia" w:ascii="仿宋_GB2312" w:hAnsi="仿宋_GB2312" w:eastAsia="仿宋_GB2312" w:cs="仿宋_GB2312"/>
          <w:sz w:val="32"/>
          <w:szCs w:val="32"/>
        </w:rPr>
        <w:t>完善内外贸经营资质、质量标准、检验检疫、认证认可衔接机制，推进产品内外销同线同标同质，鼓励出口企业与国内商贸流通企业对接，推动出口产品转内销。推动商贸企业“触网上云”，搭建线上展馆、工厂直播平台。创新“设计＋研发＋服务”设计体系，推动黄金珠宝、服装、家具等传统优势产业时尚化、国际化发展。探索</w:t>
      </w:r>
      <w:r>
        <w:rPr>
          <w:rFonts w:hint="eastAsia" w:ascii="仿宋_GB2312" w:hAnsi="仿宋_GB2312" w:eastAsia="仿宋_GB2312" w:cs="仿宋_GB2312"/>
          <w:bCs/>
          <w:sz w:val="32"/>
          <w:szCs w:val="32"/>
        </w:rPr>
        <w:t>建设深圳国际珠宝玉石交易中心。</w:t>
      </w:r>
      <w:r>
        <w:rPr>
          <w:rFonts w:hint="eastAsia" w:ascii="仿宋_GB2312" w:hAnsi="仿宋_GB2312" w:eastAsia="仿宋_GB2312" w:cs="仿宋_GB2312"/>
          <w:sz w:val="32"/>
          <w:szCs w:val="32"/>
        </w:rPr>
        <w:t>发展时尚产业，建设品牌管理总部，提升大浪时尚小镇、光明“中国时间谷”、横岗眼镜产业集聚区、水贝黄金珠宝基地、笋岗艺术展览中心等基地影响力，打造国际时尚创意之都。</w:t>
      </w:r>
    </w:p>
    <w:p>
      <w:pPr>
        <w:spacing w:line="580" w:lineRule="exact"/>
        <w:ind w:firstLine="643" w:firstLineChars="200"/>
        <w:rPr>
          <w:rFonts w:ascii="仿宋_GB2312" w:hAnsi="仿宋_GB2312" w:eastAsia="仿宋_GB2312" w:cs="仿宋_GB2312"/>
          <w:sz w:val="32"/>
          <w:szCs w:val="32"/>
        </w:rPr>
        <w:sectPr>
          <w:headerReference r:id="rId8" w:type="default"/>
          <w:footerReference r:id="rId9" w:type="default"/>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b/>
          <w:bCs/>
          <w:sz w:val="32"/>
          <w:szCs w:val="32"/>
        </w:rPr>
        <w:t>完善促进消费体制机制。</w:t>
      </w:r>
      <w:r>
        <w:rPr>
          <w:rFonts w:hint="eastAsia" w:ascii="仿宋_GB2312" w:hAnsi="仿宋_GB2312" w:eastAsia="仿宋_GB2312" w:cs="仿宋_GB2312"/>
          <w:sz w:val="32"/>
          <w:szCs w:val="32"/>
        </w:rPr>
        <w:t>优化离境退税服务网点布局，试行“即买即退”。探索开展市内免税业务，探索建设国际免税城，推动免税经济发展，引导境外消费回流、吸引外来消费。营造诚实守信、服务制胜、放心便捷的消费环境，加强消费者权益宣传，优化全市消费维权机制，提倡诚信消费，创建消费者满意城市。落实带薪休假制度，扩大节假日消费。合理增加公共消费，有效带动私人消费。</w:t>
      </w:r>
    </w:p>
    <w:p>
      <w:pPr>
        <w:spacing w:line="600" w:lineRule="exact"/>
        <w:jc w:val="center"/>
        <w:outlineLvl w:val="0"/>
        <w:rPr>
          <w:rFonts w:ascii="黑体" w:hAnsi="黑体" w:eastAsia="黑体" w:cs="黑体"/>
          <w:sz w:val="40"/>
          <w:szCs w:val="40"/>
        </w:rPr>
      </w:pPr>
      <w:bookmarkStart w:id="1641" w:name="_Toc16257"/>
      <w:bookmarkStart w:id="1642" w:name="_Toc24213"/>
      <w:bookmarkStart w:id="1643" w:name="_Toc2134"/>
      <w:bookmarkStart w:id="1644" w:name="_Toc17747"/>
      <w:bookmarkStart w:id="1645" w:name="_Toc23936"/>
      <w:bookmarkStart w:id="1646" w:name="_Toc22851"/>
      <w:bookmarkStart w:id="1647" w:name="_Toc3568"/>
      <w:bookmarkStart w:id="1648" w:name="_Toc18931"/>
      <w:bookmarkStart w:id="1649" w:name="_Toc11744"/>
      <w:bookmarkStart w:id="1650" w:name="_Toc30455"/>
      <w:bookmarkStart w:id="1651" w:name="_Toc18581"/>
      <w:bookmarkStart w:id="1652" w:name="_Toc14188"/>
      <w:bookmarkStart w:id="1653" w:name="_Toc21546"/>
      <w:bookmarkStart w:id="1654" w:name="_Toc10668"/>
      <w:bookmarkStart w:id="1655" w:name="_Toc25119"/>
      <w:bookmarkStart w:id="1656" w:name="_Toc10867"/>
      <w:bookmarkStart w:id="1657" w:name="_Toc9095"/>
      <w:bookmarkStart w:id="1658" w:name="_Toc1765"/>
      <w:bookmarkStart w:id="1659" w:name="_Toc22655"/>
      <w:bookmarkStart w:id="1660" w:name="_Toc28704"/>
      <w:bookmarkStart w:id="1661" w:name="_Toc22433"/>
      <w:bookmarkStart w:id="1662" w:name="_Toc24214"/>
      <w:bookmarkStart w:id="1663" w:name="_Toc21750"/>
      <w:bookmarkStart w:id="1664" w:name="_Toc19700"/>
      <w:bookmarkStart w:id="1665" w:name="_Toc11232"/>
      <w:bookmarkStart w:id="1666" w:name="_Toc2296"/>
      <w:bookmarkStart w:id="1667" w:name="_Toc29045"/>
      <w:bookmarkStart w:id="1668" w:name="_Toc14926"/>
      <w:bookmarkStart w:id="1669" w:name="_Toc11283"/>
      <w:bookmarkStart w:id="1670" w:name="_Toc27460"/>
      <w:bookmarkStart w:id="1671" w:name="_Toc4940"/>
      <w:bookmarkStart w:id="1672" w:name="_Toc8404"/>
      <w:bookmarkStart w:id="1673" w:name="_Toc25818"/>
      <w:bookmarkStart w:id="1674" w:name="_Toc9377"/>
      <w:bookmarkStart w:id="1675" w:name="_Toc25015"/>
      <w:bookmarkStart w:id="1676" w:name="_Toc11667"/>
      <w:bookmarkStart w:id="1677" w:name="_Toc11125"/>
      <w:bookmarkStart w:id="1678" w:name="_Toc3420"/>
      <w:bookmarkStart w:id="1679" w:name="_Toc26519"/>
      <w:bookmarkStart w:id="1680" w:name="_Toc26763"/>
      <w:bookmarkStart w:id="1681" w:name="_Toc27708"/>
      <w:bookmarkStart w:id="1682" w:name="_Toc28973"/>
      <w:bookmarkStart w:id="1683" w:name="_Toc5508"/>
      <w:bookmarkStart w:id="1684" w:name="_Toc25774"/>
      <w:bookmarkStart w:id="1685" w:name="_Toc17796"/>
      <w:bookmarkStart w:id="1686" w:name="_Toc1013"/>
      <w:bookmarkStart w:id="1687" w:name="_Toc25732"/>
      <w:bookmarkStart w:id="1688" w:name="_Toc3169"/>
      <w:bookmarkStart w:id="1689" w:name="_Toc9005"/>
      <w:bookmarkStart w:id="1690" w:name="_Toc6623"/>
      <w:bookmarkStart w:id="1691" w:name="_Toc12152"/>
      <w:bookmarkStart w:id="1692" w:name="_Toc14448"/>
      <w:bookmarkStart w:id="1693" w:name="_Toc7507"/>
      <w:bookmarkStart w:id="1694" w:name="_Toc30301"/>
      <w:bookmarkStart w:id="1695" w:name="_Toc27639"/>
      <w:bookmarkStart w:id="1696" w:name="_Toc2387"/>
      <w:bookmarkStart w:id="1697" w:name="_Toc5502"/>
      <w:bookmarkStart w:id="1698" w:name="_Toc22249"/>
      <w:bookmarkStart w:id="1699" w:name="_Toc29181"/>
      <w:bookmarkStart w:id="1700" w:name="_Toc11153"/>
      <w:bookmarkStart w:id="1701" w:name="_Toc5136"/>
      <w:bookmarkStart w:id="1702" w:name="_Toc11759"/>
      <w:bookmarkStart w:id="1703" w:name="_Toc31145"/>
      <w:bookmarkStart w:id="1704" w:name="_Toc4349"/>
      <w:bookmarkStart w:id="1705" w:name="_Toc8113"/>
      <w:bookmarkStart w:id="1706" w:name="_Toc21992"/>
      <w:bookmarkStart w:id="1707" w:name="_Toc17133"/>
      <w:bookmarkStart w:id="1708" w:name="_Toc26779"/>
      <w:bookmarkStart w:id="1709" w:name="_Toc15739"/>
      <w:bookmarkStart w:id="1710" w:name="_Toc13427"/>
      <w:bookmarkStart w:id="1711" w:name="_Toc2736"/>
      <w:bookmarkStart w:id="1712" w:name="_Toc27723"/>
      <w:bookmarkStart w:id="1713" w:name="_Toc7388"/>
      <w:bookmarkStart w:id="1714" w:name="_Toc6588"/>
      <w:bookmarkStart w:id="1715" w:name="_Toc26165"/>
      <w:bookmarkStart w:id="1716" w:name="_Toc15176"/>
      <w:bookmarkStart w:id="1717" w:name="_Toc29400"/>
      <w:bookmarkStart w:id="1718" w:name="_Toc6388"/>
      <w:bookmarkStart w:id="1719" w:name="_Toc16619"/>
      <w:bookmarkStart w:id="1720" w:name="_Toc30598"/>
      <w:r>
        <w:rPr>
          <w:rFonts w:hint="eastAsia" w:ascii="黑体" w:hAnsi="黑体" w:eastAsia="黑体" w:cs="黑体"/>
          <w:sz w:val="40"/>
          <w:szCs w:val="40"/>
        </w:rPr>
        <w:t>第三篇 增强深圳在粤港澳大湾区中的核心引擎功能</w:t>
      </w:r>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bookmarkStart w:id="1721" w:name="_Toc32562"/>
      <w:bookmarkStart w:id="1722" w:name="_Toc49711266"/>
      <w:bookmarkStart w:id="1723" w:name="_Toc19400"/>
      <w:bookmarkStart w:id="1724" w:name="_Toc27011"/>
      <w:r>
        <w:rPr>
          <w:rFonts w:hint="eastAsia" w:ascii="仿宋_GB2312" w:hAnsi="仿宋_GB2312" w:eastAsia="仿宋_GB2312" w:cs="仿宋_GB2312"/>
          <w:sz w:val="32"/>
          <w:szCs w:val="32"/>
        </w:rPr>
        <w:t>全面准确贯彻中央战略意图，落实“一国两制”基本方针，加强深港澳更紧密务实合作，融入和带动“一核一带一区”建设，</w:t>
      </w:r>
      <w:r>
        <w:rPr>
          <w:rFonts w:hint="eastAsia" w:ascii="仿宋_GB2312" w:hAnsi="仿宋_GB2312" w:eastAsia="仿宋_GB2312" w:cs="仿宋_GB2312"/>
          <w:sz w:val="32"/>
          <w:szCs w:val="32"/>
          <w:lang w:val="zh-CN"/>
        </w:rPr>
        <w:t>提升城市</w:t>
      </w:r>
      <w:r>
        <w:rPr>
          <w:rFonts w:hint="eastAsia" w:ascii="仿宋_GB2312" w:hAnsi="仿宋_GB2312" w:eastAsia="仿宋_GB2312" w:cs="仿宋_GB2312"/>
          <w:sz w:val="32"/>
          <w:szCs w:val="32"/>
        </w:rPr>
        <w:t>功能品质</w:t>
      </w:r>
      <w:r>
        <w:rPr>
          <w:rFonts w:hint="eastAsia" w:ascii="仿宋_GB2312" w:hAnsi="仿宋_GB2312" w:eastAsia="仿宋_GB2312" w:cs="仿宋_GB2312"/>
          <w:sz w:val="32"/>
          <w:szCs w:val="32"/>
          <w:lang w:val="zh-CN"/>
        </w:rPr>
        <w:t>和综合承载力，</w:t>
      </w:r>
      <w:r>
        <w:rPr>
          <w:rFonts w:hint="eastAsia" w:ascii="仿宋_GB2312" w:hAnsi="仿宋_GB2312" w:eastAsia="仿宋_GB2312" w:cs="仿宋_GB2312"/>
          <w:sz w:val="32"/>
          <w:szCs w:val="32"/>
        </w:rPr>
        <w:t>不断增强深圳在粤港澳大湾区中的核心引擎功能。</w:t>
      </w:r>
    </w:p>
    <w:p>
      <w:pPr>
        <w:spacing w:line="600" w:lineRule="exact"/>
        <w:ind w:firstLine="640" w:firstLineChars="200"/>
        <w:rPr>
          <w:rFonts w:ascii="仿宋_GB2312" w:hAnsi="仿宋_GB2312" w:eastAsia="仿宋_GB2312" w:cs="仿宋_GB2312"/>
          <w:sz w:val="32"/>
          <w:szCs w:val="32"/>
        </w:rPr>
      </w:pPr>
    </w:p>
    <w:bookmarkEnd w:id="1721"/>
    <w:bookmarkEnd w:id="1722"/>
    <w:bookmarkEnd w:id="1723"/>
    <w:bookmarkEnd w:id="1724"/>
    <w:p>
      <w:pPr>
        <w:spacing w:line="600" w:lineRule="exact"/>
        <w:jc w:val="center"/>
        <w:outlineLvl w:val="1"/>
        <w:rPr>
          <w:rFonts w:ascii="黑体" w:hAnsi="黑体" w:eastAsia="黑体" w:cs="黑体"/>
          <w:sz w:val="36"/>
          <w:szCs w:val="36"/>
        </w:rPr>
      </w:pPr>
      <w:bookmarkStart w:id="1725" w:name="_Toc23303"/>
      <w:bookmarkStart w:id="1726" w:name="_Toc26916"/>
      <w:bookmarkStart w:id="1727" w:name="_Toc16001"/>
      <w:bookmarkStart w:id="1728" w:name="_Toc32618"/>
      <w:bookmarkStart w:id="1729" w:name="_Toc31579"/>
      <w:bookmarkStart w:id="1730" w:name="_Toc11968"/>
      <w:bookmarkStart w:id="1731" w:name="_Toc21737"/>
      <w:bookmarkStart w:id="1732" w:name="_Toc16673"/>
      <w:bookmarkStart w:id="1733" w:name="_Toc10165"/>
      <w:bookmarkStart w:id="1734" w:name="_Toc32718"/>
      <w:bookmarkStart w:id="1735" w:name="_Toc18642"/>
      <w:bookmarkStart w:id="1736" w:name="_Toc19402"/>
      <w:bookmarkStart w:id="1737" w:name="_Toc4045"/>
      <w:bookmarkStart w:id="1738" w:name="_Toc21319"/>
      <w:bookmarkStart w:id="1739" w:name="_Toc3863"/>
      <w:bookmarkStart w:id="1740" w:name="_Toc24399"/>
      <w:bookmarkStart w:id="1741" w:name="_Toc21242"/>
      <w:bookmarkStart w:id="1742" w:name="_Toc28396"/>
      <w:bookmarkStart w:id="1743" w:name="_Toc30605"/>
      <w:bookmarkStart w:id="1744" w:name="_Toc23727"/>
      <w:bookmarkStart w:id="1745" w:name="_Toc538"/>
      <w:bookmarkStart w:id="1746" w:name="_Toc31351"/>
      <w:bookmarkStart w:id="1747" w:name="_Toc23080"/>
      <w:bookmarkStart w:id="1748" w:name="_Toc4295"/>
      <w:bookmarkStart w:id="1749" w:name="_Toc10509"/>
      <w:bookmarkStart w:id="1750" w:name="_Toc20232"/>
      <w:bookmarkStart w:id="1751" w:name="_Toc1552"/>
      <w:bookmarkStart w:id="1752" w:name="_Toc31127"/>
      <w:bookmarkStart w:id="1753" w:name="_Toc7126"/>
      <w:bookmarkStart w:id="1754" w:name="_Toc5497"/>
      <w:bookmarkStart w:id="1755" w:name="_Toc27415"/>
      <w:bookmarkStart w:id="1756" w:name="_Toc18392"/>
      <w:bookmarkStart w:id="1757" w:name="_Toc3036"/>
      <w:bookmarkStart w:id="1758" w:name="_Toc32018"/>
      <w:bookmarkStart w:id="1759" w:name="_Toc26478"/>
      <w:bookmarkStart w:id="1760" w:name="_Toc15092"/>
      <w:bookmarkStart w:id="1761" w:name="_Toc11953"/>
      <w:bookmarkStart w:id="1762" w:name="_Toc4912"/>
      <w:bookmarkStart w:id="1763" w:name="_Toc26095"/>
      <w:bookmarkStart w:id="1764" w:name="_Toc22712"/>
      <w:bookmarkStart w:id="1765" w:name="_Toc19852"/>
      <w:bookmarkStart w:id="1766" w:name="_Toc21756"/>
      <w:bookmarkStart w:id="1767" w:name="_Toc24095"/>
      <w:bookmarkStart w:id="1768" w:name="_Toc19026"/>
      <w:bookmarkStart w:id="1769" w:name="_Toc17395"/>
      <w:bookmarkStart w:id="1770" w:name="_Toc26676"/>
      <w:bookmarkStart w:id="1771" w:name="_Toc10163"/>
      <w:bookmarkStart w:id="1772" w:name="_Toc29146"/>
      <w:bookmarkStart w:id="1773" w:name="_Toc32751"/>
      <w:bookmarkStart w:id="1774" w:name="_Toc18624"/>
      <w:bookmarkStart w:id="1775" w:name="_Toc11683"/>
      <w:bookmarkStart w:id="1776" w:name="_Toc27446"/>
      <w:bookmarkStart w:id="1777" w:name="_Toc9867"/>
      <w:bookmarkStart w:id="1778" w:name="_Toc22485"/>
      <w:bookmarkStart w:id="1779" w:name="_Toc19501"/>
      <w:bookmarkStart w:id="1780" w:name="_Toc24230"/>
      <w:bookmarkStart w:id="1781" w:name="_Toc825"/>
      <w:bookmarkStart w:id="1782" w:name="_Toc15410"/>
      <w:bookmarkStart w:id="1783" w:name="_Toc29209"/>
      <w:bookmarkStart w:id="1784" w:name="_Toc2521"/>
      <w:bookmarkStart w:id="1785" w:name="_Toc12414"/>
      <w:bookmarkStart w:id="1786" w:name="_Toc386"/>
      <w:bookmarkStart w:id="1787" w:name="_Toc16991"/>
      <w:bookmarkStart w:id="1788" w:name="_Toc29855"/>
      <w:bookmarkStart w:id="1789" w:name="_Toc11050"/>
      <w:bookmarkStart w:id="1790" w:name="_Toc183"/>
      <w:bookmarkStart w:id="1791" w:name="_Toc11671"/>
      <w:bookmarkStart w:id="1792" w:name="_Toc15809"/>
      <w:bookmarkStart w:id="1793" w:name="_Toc21201"/>
      <w:bookmarkStart w:id="1794" w:name="_Toc771"/>
      <w:bookmarkStart w:id="1795" w:name="_Toc13022"/>
      <w:bookmarkStart w:id="1796" w:name="_Toc31556"/>
      <w:bookmarkStart w:id="1797" w:name="_Toc29457"/>
      <w:bookmarkStart w:id="1798" w:name="_Toc14799"/>
      <w:r>
        <w:rPr>
          <w:rFonts w:hint="eastAsia" w:ascii="黑体" w:hAnsi="黑体" w:eastAsia="黑体" w:cs="黑体"/>
          <w:sz w:val="36"/>
          <w:szCs w:val="36"/>
        </w:rPr>
        <w:t>第五章 携手共建国际一流湾区和世界级城市群</w:t>
      </w:r>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p>
    <w:p>
      <w:pPr>
        <w:overflowPunct w:val="0"/>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深化深港澳全方位合作，建设现代化都市圈，充分激发整体效应、集聚效应、协同效应、战略效应、辐射引领效应，助力粤港澳大湾区加快建设富有活力、竞争力的国际一流湾区和世界级城市群</w:t>
      </w:r>
      <w:r>
        <w:rPr>
          <w:rFonts w:hint="eastAsia" w:ascii="仿宋_GB2312" w:hAnsi="仿宋_GB2312" w:eastAsia="仿宋_GB2312" w:cs="仿宋_GB2312"/>
          <w:color w:val="000000"/>
          <w:sz w:val="32"/>
          <w:szCs w:val="32"/>
        </w:rPr>
        <w:t>。</w:t>
      </w:r>
    </w:p>
    <w:p>
      <w:pPr>
        <w:overflowPunct w:val="0"/>
        <w:spacing w:line="600" w:lineRule="exact"/>
        <w:ind w:firstLine="640" w:firstLineChars="200"/>
        <w:rPr>
          <w:rFonts w:ascii="仿宋_GB2312" w:hAnsi="仿宋_GB2312" w:eastAsia="仿宋_GB2312" w:cs="仿宋_GB2312"/>
          <w:sz w:val="32"/>
          <w:szCs w:val="32"/>
        </w:rPr>
      </w:pPr>
    </w:p>
    <w:p>
      <w:pPr>
        <w:spacing w:line="600" w:lineRule="exact"/>
        <w:jc w:val="center"/>
        <w:outlineLvl w:val="2"/>
        <w:rPr>
          <w:rFonts w:ascii="楷体" w:hAnsi="楷体" w:eastAsia="楷体" w:cs="楷体"/>
          <w:b/>
          <w:bCs/>
          <w:sz w:val="32"/>
          <w:szCs w:val="32"/>
        </w:rPr>
      </w:pPr>
      <w:bookmarkStart w:id="1799" w:name="_Toc24827"/>
      <w:bookmarkStart w:id="1800" w:name="_Toc13407"/>
      <w:bookmarkStart w:id="1801" w:name="_Toc28768"/>
      <w:bookmarkStart w:id="1802" w:name="_Toc29367"/>
      <w:bookmarkStart w:id="1803" w:name="_Toc1074"/>
      <w:bookmarkStart w:id="1804" w:name="_Toc20422"/>
      <w:bookmarkStart w:id="1805" w:name="_Toc26064"/>
      <w:bookmarkStart w:id="1806" w:name="_Toc1029"/>
      <w:bookmarkStart w:id="1807" w:name="_Toc13455"/>
      <w:bookmarkStart w:id="1808" w:name="_Toc16615"/>
      <w:bookmarkStart w:id="1809" w:name="_Toc30363"/>
      <w:bookmarkStart w:id="1810" w:name="_Toc7145"/>
      <w:bookmarkStart w:id="1811" w:name="_Toc3219"/>
      <w:bookmarkStart w:id="1812" w:name="_Toc13637"/>
      <w:bookmarkStart w:id="1813" w:name="_Toc27377"/>
      <w:bookmarkStart w:id="1814" w:name="_Toc22985"/>
      <w:bookmarkStart w:id="1815" w:name="_Toc5334"/>
      <w:bookmarkStart w:id="1816" w:name="_Toc22882"/>
      <w:bookmarkStart w:id="1817" w:name="_Toc25132"/>
      <w:bookmarkStart w:id="1818" w:name="_Toc27695"/>
      <w:bookmarkStart w:id="1819" w:name="_Toc18293"/>
      <w:bookmarkStart w:id="1820" w:name="_Toc16535"/>
      <w:bookmarkStart w:id="1821" w:name="_Toc1638"/>
      <w:bookmarkStart w:id="1822" w:name="_Toc24228"/>
      <w:bookmarkStart w:id="1823" w:name="_Toc25307"/>
      <w:bookmarkStart w:id="1824" w:name="_Toc3400"/>
      <w:bookmarkStart w:id="1825" w:name="_Toc1340"/>
      <w:bookmarkStart w:id="1826" w:name="_Toc23689"/>
      <w:bookmarkStart w:id="1827" w:name="_Toc2301"/>
      <w:bookmarkStart w:id="1828" w:name="_Toc19739"/>
      <w:bookmarkStart w:id="1829" w:name="_Toc30274"/>
      <w:bookmarkStart w:id="1830" w:name="_Toc21471"/>
      <w:bookmarkStart w:id="1831" w:name="_Toc4133"/>
      <w:bookmarkStart w:id="1832" w:name="_Toc19874"/>
      <w:bookmarkStart w:id="1833" w:name="_Toc20455"/>
      <w:bookmarkStart w:id="1834" w:name="_Toc19494"/>
      <w:bookmarkStart w:id="1835" w:name="_Toc8209"/>
      <w:bookmarkStart w:id="1836" w:name="_Toc4815"/>
      <w:bookmarkStart w:id="1837" w:name="_Toc25391"/>
      <w:bookmarkStart w:id="1838" w:name="_Toc3210"/>
      <w:bookmarkStart w:id="1839" w:name="_Toc24159"/>
      <w:bookmarkStart w:id="1840" w:name="_Toc2433"/>
      <w:bookmarkStart w:id="1841" w:name="_Toc6775"/>
      <w:bookmarkStart w:id="1842" w:name="_Toc12913"/>
      <w:bookmarkStart w:id="1843" w:name="_Toc13317"/>
      <w:bookmarkStart w:id="1844" w:name="_Toc31451"/>
      <w:bookmarkStart w:id="1845" w:name="_Toc3054"/>
      <w:bookmarkStart w:id="1846" w:name="_Toc17159"/>
      <w:r>
        <w:rPr>
          <w:rFonts w:hint="eastAsia" w:ascii="楷体" w:hAnsi="楷体" w:eastAsia="楷体" w:cs="楷体"/>
          <w:b/>
          <w:bCs/>
          <w:sz w:val="32"/>
          <w:szCs w:val="32"/>
        </w:rPr>
        <w:t>第一节 推进深港澳深度合作</w:t>
      </w:r>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p>
    <w:p>
      <w:pPr>
        <w:spacing w:line="60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共建深港澳优质生活圈。</w:t>
      </w:r>
      <w:r>
        <w:rPr>
          <w:rFonts w:hint="eastAsia" w:ascii="仿宋_GB2312" w:hAnsi="仿宋_GB2312" w:eastAsia="仿宋_GB2312" w:cs="仿宋_GB2312"/>
          <w:color w:val="000000"/>
          <w:sz w:val="32"/>
          <w:szCs w:val="32"/>
        </w:rPr>
        <w:t>深入实施“湾区通”工程，</w:t>
      </w:r>
      <w:r>
        <w:rPr>
          <w:rFonts w:hint="eastAsia" w:ascii="仿宋_GB2312" w:hAnsi="仿宋_GB2312" w:eastAsia="仿宋_GB2312" w:cs="仿宋_GB2312"/>
          <w:sz w:val="32"/>
          <w:szCs w:val="32"/>
        </w:rPr>
        <w:t>实行更加便利的通关模式，探索更多“一事三地”“一策三地”“一规三地”创新举措，促进人员、货物、车辆、资金、技术、信息等要素高效便捷流动，提升市场一体化水平。加强与香港的交通规划衔接，加快东部过境高速公路等重点项目规划建设，推进港深西部快轨规划研究工作</w:t>
      </w:r>
      <w:r>
        <w:rPr>
          <w:rFonts w:hint="eastAsia" w:ascii="仿宋_GB2312" w:hAnsi="仿宋_GB2312" w:eastAsia="仿宋_GB2312" w:cs="仿宋_GB2312"/>
          <w:color w:val="000000"/>
          <w:sz w:val="32"/>
          <w:szCs w:val="32"/>
        </w:rPr>
        <w:t>。创新完善港澳居民来深就学就业创业服务体系，推进在深工作和生活的港澳居民享有市民待遇，高水平建设一批港澳青年创新创业基地。推进具有港澳执业资格的专业人才经备案后按规定范围提供专业服务，进一步便利港澳人员跨境执业。加强与港澳政府部门、法定机构、商会协会等交流，构建多层级合作框架机制。</w:t>
      </w:r>
    </w:p>
    <w:p>
      <w:pPr>
        <w:spacing w:line="600" w:lineRule="exact"/>
        <w:ind w:firstLine="643" w:firstLineChars="200"/>
        <w:rPr>
          <w:rFonts w:ascii="仿宋_GB2312" w:eastAsia="仿宋_GB2312"/>
          <w:bCs/>
          <w:sz w:val="32"/>
          <w:szCs w:val="32"/>
        </w:rPr>
      </w:pPr>
      <w:r>
        <w:rPr>
          <w:rFonts w:hint="eastAsia" w:ascii="仿宋_GB2312" w:hAnsi="仿宋_GB2312" w:eastAsia="仿宋_GB2312" w:cs="仿宋_GB2312"/>
          <w:b/>
          <w:bCs/>
          <w:sz w:val="32"/>
          <w:szCs w:val="32"/>
        </w:rPr>
        <w:t>高品质推进前海深港现代服务业合作区开发建设。</w:t>
      </w:r>
      <w:r>
        <w:rPr>
          <w:rFonts w:hint="eastAsia" w:ascii="仿宋_GB2312" w:hAnsi="仿宋_GB2312" w:eastAsia="仿宋_GB2312" w:cs="仿宋_GB2312"/>
          <w:sz w:val="32"/>
          <w:szCs w:val="32"/>
        </w:rPr>
        <w:t>坚持依托香港、服务内地、面向世界，</w:t>
      </w:r>
      <w:r>
        <w:rPr>
          <w:rFonts w:hint="eastAsia" w:ascii="仿宋_GB2312" w:hAnsi="仿宋_GB2312" w:eastAsia="仿宋_GB2312" w:cs="宋体"/>
          <w:bCs/>
          <w:sz w:val="32"/>
          <w:szCs w:val="32"/>
        </w:rPr>
        <w:t>推动实施新时代全面深化前海深港现代服务业合作区改革开放方案，</w:t>
      </w:r>
      <w:r>
        <w:rPr>
          <w:rFonts w:hint="eastAsia" w:ascii="仿宋_GB2312" w:eastAsia="仿宋_GB2312"/>
          <w:bCs/>
          <w:sz w:val="32"/>
          <w:szCs w:val="32"/>
        </w:rPr>
        <w:t>深化拓展“前海模式”。</w:t>
      </w:r>
      <w:r>
        <w:rPr>
          <w:rFonts w:hint="eastAsia" w:ascii="仿宋_GB2312" w:hAnsi="仿宋_GB2312" w:eastAsia="仿宋_GB2312" w:cs="宋体"/>
          <w:bCs/>
          <w:sz w:val="32"/>
          <w:szCs w:val="32"/>
        </w:rPr>
        <w:t>推动前海合作区扩区，</w:t>
      </w:r>
      <w:r>
        <w:rPr>
          <w:rFonts w:hint="eastAsia" w:ascii="仿宋_GB2312" w:hAnsi="仿宋" w:eastAsia="仿宋_GB2312"/>
          <w:bCs/>
          <w:sz w:val="32"/>
          <w:szCs w:val="32"/>
        </w:rPr>
        <w:t>实施新一轮前海总体发展规划，</w:t>
      </w:r>
      <w:r>
        <w:rPr>
          <w:rFonts w:hint="eastAsia" w:ascii="仿宋_GB2312" w:hAnsi="仿宋_GB2312" w:eastAsia="仿宋_GB2312" w:cs="宋体"/>
          <w:bCs/>
          <w:sz w:val="32"/>
          <w:szCs w:val="32"/>
        </w:rPr>
        <w:t>建设国际化城市新中心</w:t>
      </w:r>
      <w:r>
        <w:rPr>
          <w:rFonts w:hint="eastAsia" w:ascii="Times New Roman" w:hAnsi="Times New Roman" w:eastAsia="仿宋_GB2312"/>
          <w:bCs/>
          <w:sz w:val="32"/>
          <w:szCs w:val="32"/>
        </w:rPr>
        <w:t>。研究推进与港澳服务贸易自由化，推动规则衔接、机制对接</w:t>
      </w:r>
      <w:r>
        <w:rPr>
          <w:rFonts w:hint="eastAsia" w:ascii="仿宋_GB2312" w:hAnsi="仿宋_GB2312" w:eastAsia="仿宋_GB2312" w:cs="宋体"/>
          <w:bCs/>
          <w:sz w:val="32"/>
          <w:szCs w:val="32"/>
        </w:rPr>
        <w:t>。建设前海深港国际金融城，深化国家金融业对外开放试验示范窗口和跨境人民币业务创新实验区建设。</w:t>
      </w:r>
      <w:r>
        <w:rPr>
          <w:rFonts w:hint="eastAsia" w:ascii="仿宋_GB2312" w:eastAsia="仿宋_GB2312"/>
          <w:bCs/>
          <w:sz w:val="32"/>
          <w:szCs w:val="32"/>
        </w:rPr>
        <w:t>深入推进前海建设中国特色社会主义法治示范区，联动香港建设国际商事争议解决中心、国际法律服务中心，高标准建设前海深港国际法务区。</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高标准建设河套深港科技创新合作区。</w:t>
      </w:r>
      <w:r>
        <w:rPr>
          <w:rFonts w:hint="eastAsia" w:ascii="仿宋_GB2312" w:eastAsia="仿宋_GB2312"/>
          <w:bCs/>
          <w:sz w:val="32"/>
          <w:szCs w:val="32"/>
        </w:rPr>
        <w:t>加强深圳园区与香港园区的规划衔接和发展联动，探索协同开发模式，高标准推进深圳园区建设运营。</w:t>
      </w:r>
      <w:r>
        <w:rPr>
          <w:rFonts w:hint="eastAsia" w:ascii="仿宋_GB2312" w:hAnsi="仿宋_GB2312" w:eastAsia="仿宋_GB2312" w:cs="仿宋_GB2312"/>
          <w:sz w:val="32"/>
          <w:szCs w:val="32"/>
        </w:rPr>
        <w:t>建立健全深港科技创新协同机制，共建国际一流的科研实验设施集群，共同引进国际顶尖研发型企业，设立联合研发中心。建立科研资金跨境使用管理模式，</w:t>
      </w:r>
      <w:r>
        <w:rPr>
          <w:rFonts w:hint="eastAsia" w:ascii="仿宋_GB2312" w:hAnsi="仿宋_GB2312" w:eastAsia="仿宋_GB2312" w:cs="仿宋_GB2312"/>
          <w:bCs/>
          <w:sz w:val="32"/>
          <w:szCs w:val="32"/>
        </w:rPr>
        <w:t>实施“一线”放开、“二线”管住科研物资管理机制，创新科研、法律、税收等管理制度。营造更加宽松便捷的市场准入环境，建设新兴产业标准规则示范区。建设海外人才离岸创新创业基地，支持海外人才开展离岸研发、离岸创业。</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高水平规划建设深港口岸经济带。</w:t>
      </w:r>
      <w:r>
        <w:rPr>
          <w:rFonts w:hint="eastAsia" w:ascii="仿宋_GB2312" w:hAnsi="仿宋_GB2312" w:eastAsia="仿宋_GB2312" w:cs="仿宋_GB2312"/>
          <w:sz w:val="32"/>
          <w:szCs w:val="32"/>
        </w:rPr>
        <w:t>以深港口岸与邻近区域、过境地块为核心，协同建设集科技创新、高端制造、文旅消费、医疗教育等于一体的深港口岸经济带，打造深港合作新平台。推动深港口岸经济带罗湖先行区、沙头角深港国际旅游消费合作区等片区建设发展，构建空间统筹、结构优化、错位协同的口岸经济带发展格局。优化口岸功能布局，提升货物通关便捷程度，逐步实现深港跨境货运“东进东出、西进西出”。加快皇岗、沙头角等口岸重建，改造升级罗湖、文锦渡等口岸，推动前海、大鹏等设立新口岸，打造口岸综合改革示范城市。</w:t>
      </w:r>
    </w:p>
    <w:p>
      <w:pPr>
        <w:spacing w:line="600" w:lineRule="exact"/>
        <w:ind w:firstLine="640" w:firstLineChars="200"/>
        <w:rPr>
          <w:rFonts w:ascii="仿宋_GB2312" w:hAnsi="仿宋_GB2312" w:eastAsia="仿宋_GB2312" w:cs="仿宋_GB2312"/>
          <w:sz w:val="32"/>
          <w:szCs w:val="32"/>
        </w:rPr>
      </w:pPr>
    </w:p>
    <w:p>
      <w:pPr>
        <w:spacing w:line="600" w:lineRule="exact"/>
        <w:jc w:val="center"/>
        <w:outlineLvl w:val="2"/>
        <w:rPr>
          <w:rFonts w:ascii="楷体" w:hAnsi="楷体" w:eastAsia="楷体" w:cs="楷体"/>
          <w:b/>
          <w:bCs/>
          <w:sz w:val="32"/>
          <w:szCs w:val="32"/>
        </w:rPr>
      </w:pPr>
      <w:bookmarkStart w:id="1847" w:name="_Toc17501"/>
      <w:bookmarkStart w:id="1848" w:name="_Toc22299"/>
      <w:bookmarkStart w:id="1849" w:name="_Toc6145"/>
      <w:bookmarkStart w:id="1850" w:name="_Toc233"/>
      <w:bookmarkStart w:id="1851" w:name="_Toc13500"/>
      <w:bookmarkStart w:id="1852" w:name="_Toc14470"/>
      <w:bookmarkStart w:id="1853" w:name="_Toc18620"/>
      <w:bookmarkStart w:id="1854" w:name="_Toc10689"/>
      <w:bookmarkStart w:id="1855" w:name="_Toc1494"/>
      <w:bookmarkStart w:id="1856" w:name="_Toc5939"/>
      <w:bookmarkStart w:id="1857" w:name="_Toc22036"/>
      <w:bookmarkStart w:id="1858" w:name="_Toc13850"/>
      <w:bookmarkStart w:id="1859" w:name="_Toc6362"/>
      <w:bookmarkStart w:id="1860" w:name="_Toc21909"/>
      <w:bookmarkStart w:id="1861" w:name="_Toc20207"/>
      <w:bookmarkStart w:id="1862" w:name="_Toc555"/>
      <w:bookmarkStart w:id="1863" w:name="_Toc29515"/>
      <w:bookmarkStart w:id="1864" w:name="_Toc12553"/>
      <w:bookmarkStart w:id="1865" w:name="_Toc24654"/>
      <w:bookmarkStart w:id="1866" w:name="_Toc18037"/>
      <w:bookmarkStart w:id="1867" w:name="_Toc18956"/>
      <w:bookmarkStart w:id="1868" w:name="_Toc9800"/>
      <w:bookmarkStart w:id="1869" w:name="_Toc280"/>
      <w:bookmarkStart w:id="1870" w:name="_Toc30486"/>
      <w:bookmarkStart w:id="1871" w:name="_Toc24519"/>
      <w:bookmarkStart w:id="1872" w:name="_Toc22032"/>
      <w:bookmarkStart w:id="1873" w:name="_Toc7345"/>
      <w:bookmarkStart w:id="1874" w:name="_Toc22264"/>
      <w:bookmarkStart w:id="1875" w:name="_Toc5189"/>
      <w:bookmarkStart w:id="1876" w:name="_Toc5110"/>
      <w:bookmarkStart w:id="1877" w:name="_Toc19125"/>
      <w:bookmarkStart w:id="1878" w:name="_Toc17666"/>
      <w:bookmarkStart w:id="1879" w:name="_Toc11244"/>
      <w:bookmarkStart w:id="1880" w:name="_Toc27667"/>
      <w:bookmarkStart w:id="1881" w:name="_Toc8326"/>
      <w:bookmarkStart w:id="1882" w:name="_Toc15925"/>
      <w:bookmarkStart w:id="1883" w:name="_Toc7576"/>
      <w:bookmarkStart w:id="1884" w:name="_Toc15563"/>
      <w:bookmarkStart w:id="1885" w:name="_Toc32374"/>
      <w:bookmarkStart w:id="1886" w:name="_Toc15344"/>
      <w:bookmarkStart w:id="1887" w:name="_Toc1530"/>
      <w:bookmarkStart w:id="1888" w:name="_Toc9587"/>
      <w:bookmarkStart w:id="1889" w:name="_Toc29717"/>
      <w:bookmarkStart w:id="1890" w:name="_Toc2686"/>
      <w:bookmarkStart w:id="1891" w:name="_Toc8205"/>
      <w:bookmarkStart w:id="1892" w:name="_Toc27961"/>
      <w:bookmarkStart w:id="1893" w:name="_Toc8119"/>
      <w:bookmarkStart w:id="1894" w:name="_Toc30367"/>
      <w:r>
        <w:rPr>
          <w:rFonts w:hint="eastAsia" w:ascii="楷体" w:hAnsi="楷体" w:eastAsia="楷体" w:cs="楷体"/>
          <w:b/>
          <w:bCs/>
          <w:sz w:val="32"/>
          <w:szCs w:val="32"/>
        </w:rPr>
        <w:t>第二节 建设现代化都市圈</w:t>
      </w:r>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p>
    <w:p>
      <w:pPr>
        <w:spacing w:line="600" w:lineRule="exact"/>
        <w:ind w:firstLine="643" w:firstLineChars="200"/>
        <w:rPr>
          <w:rFonts w:ascii="仿宋_GB2312" w:hAnsi="仿宋_GB2312" w:eastAsia="仿宋_GB2312" w:cs="仿宋_GB2312"/>
          <w:sz w:val="32"/>
          <w:szCs w:val="32"/>
        </w:rPr>
      </w:pPr>
      <w:r>
        <w:rPr>
          <w:rFonts w:hint="eastAsia" w:ascii="仿宋_GB2312" w:eastAsia="仿宋_GB2312"/>
          <w:b/>
          <w:sz w:val="32"/>
          <w:szCs w:val="32"/>
        </w:rPr>
        <w:t>规划建设深圳都市圈。</w:t>
      </w:r>
      <w:r>
        <w:rPr>
          <w:rFonts w:hint="eastAsia" w:ascii="仿宋_GB2312" w:hAnsi="仿宋_GB2312" w:eastAsia="仿宋_GB2312" w:cs="仿宋_GB2312"/>
          <w:sz w:val="32"/>
          <w:szCs w:val="32"/>
        </w:rPr>
        <w:t>制定实施深圳都市圈发展规划，以深莞惠大都市区为主中心，以深汕特别合作区、汕尾都市区、河源都市区为副中心，形成中心引领、轴带支撑、圈层联动的发展格局。统筹推进都市圈基础设施建设，加密都市圈交通网络，与周边城市构建半小时交通圈。</w:t>
      </w:r>
    </w:p>
    <w:p>
      <w:pPr>
        <w:tabs>
          <w:tab w:val="left" w:pos="312"/>
        </w:tabs>
        <w:overflowPunct w:val="0"/>
        <w:adjustRightInd w:val="0"/>
        <w:snapToGrid w:val="0"/>
        <w:spacing w:line="600" w:lineRule="exact"/>
        <w:ind w:firstLine="643" w:firstLineChars="200"/>
        <w:rPr>
          <w:rFonts w:ascii="仿宋_GB2312" w:eastAsia="仿宋_GB2312"/>
          <w:bCs/>
          <w:sz w:val="32"/>
          <w:szCs w:val="32"/>
        </w:rPr>
      </w:pPr>
      <w:r>
        <w:rPr>
          <w:rFonts w:hint="eastAsia" w:ascii="仿宋_GB2312" w:hAnsi="仿宋_GB2312" w:eastAsia="仿宋_GB2312" w:cs="仿宋_GB2312"/>
          <w:b/>
          <w:bCs/>
          <w:sz w:val="32"/>
          <w:szCs w:val="32"/>
        </w:rPr>
        <w:t>创新都市圈发展体制机制</w:t>
      </w:r>
      <w:r>
        <w:rPr>
          <w:rFonts w:hint="eastAsia" w:ascii="仿宋_GB2312" w:eastAsia="仿宋_GB2312"/>
          <w:b/>
          <w:bCs/>
          <w:sz w:val="32"/>
          <w:szCs w:val="32"/>
        </w:rPr>
        <w:t>。</w:t>
      </w:r>
      <w:r>
        <w:rPr>
          <w:rFonts w:hint="eastAsia" w:ascii="仿宋_GB2312" w:eastAsia="仿宋_GB2312"/>
          <w:bCs/>
          <w:sz w:val="32"/>
          <w:szCs w:val="32"/>
        </w:rPr>
        <w:t>按照深圳牵头、统分结合的原则，创新区域协同发展机制，协同东莞、惠州优化临深片区产业、基础设施、公共服务布局，共同打造具有全球竞争力的电子信息等世界级先进制造业产业集群。推动生态环境共保共治、民生服务共建共享，促进教育、医疗、养老、环保等政策衔接。</w:t>
      </w:r>
    </w:p>
    <w:p>
      <w:pPr>
        <w:tabs>
          <w:tab w:val="left" w:pos="312"/>
        </w:tabs>
        <w:overflowPunct w:val="0"/>
        <w:adjustRightInd w:val="0"/>
        <w:snapToGrid w:val="0"/>
        <w:spacing w:line="600" w:lineRule="exact"/>
        <w:ind w:firstLine="640" w:firstLineChars="200"/>
        <w:rPr>
          <w:rFonts w:ascii="仿宋_GB2312" w:eastAsia="仿宋_GB2312"/>
          <w:bCs/>
          <w:sz w:val="32"/>
          <w:szCs w:val="32"/>
        </w:rPr>
      </w:pPr>
    </w:p>
    <w:p>
      <w:pPr>
        <w:spacing w:line="600" w:lineRule="exact"/>
        <w:jc w:val="center"/>
        <w:outlineLvl w:val="2"/>
        <w:rPr>
          <w:rFonts w:ascii="楷体" w:hAnsi="楷体" w:eastAsia="楷体" w:cs="楷体"/>
          <w:b/>
          <w:bCs/>
          <w:sz w:val="32"/>
          <w:szCs w:val="32"/>
        </w:rPr>
      </w:pPr>
      <w:bookmarkStart w:id="1895" w:name="_Toc12328"/>
      <w:bookmarkStart w:id="1896" w:name="_Toc28056"/>
      <w:bookmarkStart w:id="1897" w:name="_Toc28257"/>
      <w:bookmarkStart w:id="1898" w:name="_Toc30971"/>
      <w:bookmarkStart w:id="1899" w:name="_Toc1712"/>
      <w:bookmarkStart w:id="1900" w:name="_Toc14500"/>
      <w:bookmarkStart w:id="1901" w:name="_Toc1399"/>
      <w:bookmarkStart w:id="1902" w:name="_Toc25429"/>
      <w:bookmarkStart w:id="1903" w:name="_Toc539"/>
      <w:bookmarkStart w:id="1904" w:name="_Toc13246"/>
      <w:bookmarkStart w:id="1905" w:name="_Toc8730"/>
      <w:bookmarkStart w:id="1906" w:name="_Toc13236"/>
      <w:bookmarkStart w:id="1907" w:name="_Toc3492"/>
      <w:bookmarkStart w:id="1908" w:name="_Toc23830"/>
      <w:bookmarkStart w:id="1909" w:name="_Toc27259"/>
      <w:bookmarkStart w:id="1910" w:name="_Toc29442"/>
      <w:bookmarkStart w:id="1911" w:name="_Toc16306"/>
      <w:bookmarkStart w:id="1912" w:name="_Toc23729"/>
      <w:bookmarkStart w:id="1913" w:name="_Toc5949"/>
      <w:bookmarkStart w:id="1914" w:name="_Toc5487"/>
      <w:bookmarkStart w:id="1915" w:name="_Toc11831"/>
      <w:bookmarkStart w:id="1916" w:name="_Toc641"/>
      <w:bookmarkStart w:id="1917" w:name="_Toc29219"/>
      <w:bookmarkStart w:id="1918" w:name="_Toc2883"/>
      <w:bookmarkStart w:id="1919" w:name="_Toc2947"/>
      <w:bookmarkStart w:id="1920" w:name="_Toc32669"/>
      <w:bookmarkStart w:id="1921" w:name="_Toc22110"/>
      <w:bookmarkStart w:id="1922" w:name="_Toc19822"/>
      <w:bookmarkStart w:id="1923" w:name="_Toc1151"/>
      <w:bookmarkStart w:id="1924" w:name="_Toc245"/>
      <w:bookmarkStart w:id="1925" w:name="_Toc3776"/>
      <w:bookmarkStart w:id="1926" w:name="_Toc21894"/>
      <w:bookmarkStart w:id="1927" w:name="_Toc31187"/>
      <w:bookmarkStart w:id="1928" w:name="_Toc29526"/>
      <w:bookmarkStart w:id="1929" w:name="_Toc2751"/>
      <w:bookmarkStart w:id="1930" w:name="_Toc13227"/>
      <w:bookmarkStart w:id="1931" w:name="_Toc17"/>
      <w:bookmarkStart w:id="1932" w:name="_Toc24138"/>
      <w:bookmarkStart w:id="1933" w:name="_Toc2574"/>
      <w:bookmarkStart w:id="1934" w:name="_Toc3691"/>
      <w:bookmarkStart w:id="1935" w:name="_Toc20438"/>
      <w:bookmarkStart w:id="1936" w:name="_Toc11210"/>
      <w:bookmarkStart w:id="1937" w:name="_Toc16188"/>
      <w:bookmarkStart w:id="1938" w:name="_Toc12999"/>
      <w:bookmarkStart w:id="1939" w:name="_Toc19082"/>
      <w:bookmarkStart w:id="1940" w:name="_Toc15792"/>
      <w:bookmarkStart w:id="1941" w:name="_Toc13068"/>
      <w:bookmarkStart w:id="1942" w:name="_Toc1342"/>
      <w:r>
        <w:rPr>
          <w:rFonts w:hint="eastAsia" w:ascii="楷体" w:hAnsi="楷体" w:eastAsia="楷体" w:cs="楷体"/>
          <w:b/>
          <w:bCs/>
          <w:sz w:val="32"/>
          <w:szCs w:val="32"/>
        </w:rPr>
        <w:t>第三节 增强“一核一带一区”</w:t>
      </w:r>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r>
        <w:rPr>
          <w:rFonts w:hint="eastAsia" w:ascii="楷体" w:hAnsi="楷体" w:eastAsia="楷体" w:cs="楷体"/>
          <w:b/>
          <w:bCs/>
          <w:sz w:val="32"/>
          <w:szCs w:val="32"/>
        </w:rPr>
        <w:t>主引擎作用</w:t>
      </w:r>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强化广深“双城联动、比翼双飞”。</w:t>
      </w:r>
      <w:r>
        <w:rPr>
          <w:rFonts w:hint="eastAsia" w:ascii="仿宋_GB2312" w:hAnsi="仿宋_GB2312" w:eastAsia="仿宋_GB2312" w:cs="仿宋_GB2312"/>
          <w:bCs/>
          <w:sz w:val="32"/>
          <w:szCs w:val="32"/>
        </w:rPr>
        <w:t>协同打造</w:t>
      </w:r>
      <w:r>
        <w:rPr>
          <w:rFonts w:hint="eastAsia" w:ascii="仿宋_GB2312" w:eastAsia="仿宋_GB2312"/>
          <w:bCs/>
          <w:sz w:val="32"/>
          <w:szCs w:val="32"/>
        </w:rPr>
        <w:t>一批重大科技基础设施，建设国际科技创新中心</w:t>
      </w:r>
      <w:r>
        <w:rPr>
          <w:rFonts w:hint="eastAsia" w:ascii="仿宋_GB2312" w:hAnsi="仿宋_GB2312" w:eastAsia="仿宋_GB2312" w:cs="仿宋_GB2312"/>
          <w:sz w:val="32"/>
          <w:szCs w:val="32"/>
        </w:rPr>
        <w:t>。研究共建世界新兴产业、先进制造业和现代服务业基地，全面</w:t>
      </w:r>
      <w:r>
        <w:rPr>
          <w:rFonts w:hint="eastAsia" w:ascii="仿宋_GB2312" w:hAnsi="仿宋_GB2312" w:eastAsia="仿宋_GB2312" w:cs="仿宋_GB2312"/>
          <w:bCs/>
          <w:sz w:val="32"/>
          <w:szCs w:val="32"/>
        </w:rPr>
        <w:t>深化在教育、医疗、文化、旅游、人才、就业、生态等领域的合作发展。</w:t>
      </w:r>
      <w:r>
        <w:rPr>
          <w:rFonts w:hint="eastAsia" w:ascii="仿宋_GB2312" w:hAnsi="仿宋_GB2312" w:eastAsia="仿宋_GB2312" w:cs="仿宋_GB2312"/>
          <w:sz w:val="32"/>
          <w:szCs w:val="32"/>
        </w:rPr>
        <w:t>强化交通基础设施对广深双城联动的支撑。</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促进珠江口东西两岸融合互动。</w:t>
      </w:r>
      <w:r>
        <w:rPr>
          <w:rFonts w:hint="eastAsia" w:ascii="仿宋_GB2312" w:hAnsi="仿宋_GB2312" w:eastAsia="仿宋_GB2312" w:cs="仿宋_GB2312"/>
          <w:sz w:val="32"/>
          <w:szCs w:val="32"/>
        </w:rPr>
        <w:t>加强与珠海、中山、江门等城市在轨道交通、产业园区、生态文明等方面的合作。加强与珠江西岸先进装备制造业联动发展，研究规划建设深圳-中山产业拓展走廊，创新产业园区共建、产业梯度转移、产业链协作机制，推进与珠江口西岸都市圈协同发展。</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积极对接沿海经济带和北部生态发展区。</w:t>
      </w:r>
      <w:r>
        <w:rPr>
          <w:rFonts w:hint="eastAsia" w:ascii="仿宋_GB2312" w:hAnsi="仿宋_GB2312" w:eastAsia="仿宋_GB2312" w:cs="仿宋_GB2312"/>
          <w:sz w:val="32"/>
          <w:szCs w:val="32"/>
        </w:rPr>
        <w:t>支持汕头建设省域副中心城市，构建深圳-汕头深度协作机制，加强与汕潮揭都市圈、湛茂都市圈海洋经济协调发展，辐射带动汕尾等沿海地区高质量发展。支持广东北部生态发展区打造生态经济发展新标杆，全面加强与韶关、梅州、清远、河源、云浮等地生态型产业合作，广泛开展人文旅游交流。</w:t>
      </w:r>
    </w:p>
    <w:p>
      <w:pPr>
        <w:spacing w:line="600" w:lineRule="exact"/>
        <w:ind w:firstLine="640" w:firstLineChars="200"/>
        <w:rPr>
          <w:rFonts w:ascii="仿宋_GB2312" w:hAnsi="仿宋_GB2312" w:eastAsia="仿宋_GB2312" w:cs="仿宋_GB2312"/>
          <w:sz w:val="32"/>
          <w:szCs w:val="32"/>
        </w:rPr>
      </w:pPr>
    </w:p>
    <w:p>
      <w:pPr>
        <w:spacing w:line="600" w:lineRule="exact"/>
        <w:jc w:val="center"/>
        <w:outlineLvl w:val="2"/>
        <w:rPr>
          <w:rFonts w:ascii="楷体" w:hAnsi="楷体" w:eastAsia="楷体" w:cs="楷体"/>
          <w:b/>
          <w:bCs/>
          <w:sz w:val="32"/>
          <w:szCs w:val="32"/>
        </w:rPr>
      </w:pPr>
      <w:bookmarkStart w:id="1943" w:name="_Toc9614"/>
      <w:bookmarkStart w:id="1944" w:name="_Toc7886"/>
      <w:bookmarkStart w:id="1945" w:name="_Toc13700"/>
      <w:bookmarkStart w:id="1946" w:name="_Toc12132"/>
      <w:bookmarkStart w:id="1947" w:name="_Toc14497"/>
      <w:bookmarkStart w:id="1948" w:name="_Toc11422"/>
      <w:bookmarkStart w:id="1949" w:name="_Toc21049"/>
      <w:bookmarkStart w:id="1950" w:name="_Toc23116"/>
      <w:bookmarkStart w:id="1951" w:name="_Toc12704"/>
      <w:bookmarkStart w:id="1952" w:name="_Toc28030"/>
      <w:bookmarkStart w:id="1953" w:name="_Toc18213"/>
      <w:bookmarkStart w:id="1954" w:name="_Toc10749"/>
      <w:bookmarkStart w:id="1955" w:name="_Toc9884"/>
      <w:bookmarkStart w:id="1956" w:name="_Toc27423"/>
      <w:bookmarkStart w:id="1957" w:name="_Toc18133"/>
      <w:bookmarkStart w:id="1958" w:name="_Toc13748"/>
      <w:bookmarkStart w:id="1959" w:name="_Toc26155"/>
      <w:bookmarkStart w:id="1960" w:name="_Toc27030"/>
      <w:bookmarkStart w:id="1961" w:name="_Toc17016"/>
      <w:bookmarkStart w:id="1962" w:name="_Toc13621"/>
      <w:bookmarkStart w:id="1963" w:name="_Toc18365"/>
      <w:bookmarkStart w:id="1964" w:name="_Toc1766"/>
      <w:bookmarkStart w:id="1965" w:name="_Toc8182"/>
      <w:bookmarkStart w:id="1966" w:name="_Toc18254"/>
      <w:bookmarkStart w:id="1967" w:name="_Toc5809"/>
      <w:bookmarkStart w:id="1968" w:name="_Toc22756"/>
      <w:bookmarkStart w:id="1969" w:name="_Toc31101"/>
      <w:bookmarkStart w:id="1970" w:name="_Toc8531"/>
      <w:bookmarkStart w:id="1971" w:name="_Toc24822"/>
      <w:bookmarkStart w:id="1972" w:name="_Toc10318"/>
      <w:bookmarkStart w:id="1973" w:name="_Toc21421"/>
      <w:bookmarkStart w:id="1974" w:name="_Toc26764"/>
      <w:bookmarkStart w:id="1975" w:name="_Toc11830"/>
      <w:bookmarkStart w:id="1976" w:name="_Toc23787"/>
      <w:bookmarkStart w:id="1977" w:name="_Toc6264"/>
      <w:bookmarkStart w:id="1978" w:name="_Toc8470"/>
      <w:bookmarkStart w:id="1979" w:name="_Toc9877"/>
      <w:bookmarkStart w:id="1980" w:name="_Toc23654"/>
      <w:bookmarkStart w:id="1981" w:name="_Toc30299"/>
      <w:bookmarkStart w:id="1982" w:name="_Toc6320"/>
      <w:bookmarkStart w:id="1983" w:name="_Toc11986"/>
      <w:bookmarkStart w:id="1984" w:name="_Toc8314"/>
      <w:bookmarkStart w:id="1985" w:name="_Toc14066"/>
      <w:bookmarkStart w:id="1986" w:name="_Toc10695"/>
      <w:bookmarkStart w:id="1987" w:name="_Toc13035"/>
      <w:bookmarkStart w:id="1988" w:name="_Toc15620"/>
      <w:bookmarkStart w:id="1989" w:name="_Toc22022"/>
      <w:bookmarkStart w:id="1990" w:name="_Toc3527"/>
      <w:r>
        <w:rPr>
          <w:rFonts w:hint="eastAsia" w:ascii="楷体" w:hAnsi="楷体" w:eastAsia="楷体" w:cs="楷体"/>
          <w:b/>
          <w:bCs/>
          <w:sz w:val="32"/>
          <w:szCs w:val="32"/>
        </w:rPr>
        <w:t>第四节 扎实开展对口帮扶和合作交流</w:t>
      </w:r>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p>
    <w:p>
      <w:pPr>
        <w:overflowPunct w:val="0"/>
        <w:adjustRightInd w:val="0"/>
        <w:snapToGrid w:val="0"/>
        <w:spacing w:line="600" w:lineRule="exact"/>
        <w:ind w:firstLine="643" w:firstLineChars="200"/>
        <w:rPr>
          <w:rFonts w:ascii="Times New Roman" w:hAnsi="Times New Roman" w:eastAsia="仿宋_GB2312"/>
          <w:b/>
          <w:bCs/>
          <w:sz w:val="32"/>
          <w:szCs w:val="32"/>
        </w:rPr>
      </w:pPr>
      <w:r>
        <w:rPr>
          <w:rFonts w:hint="eastAsia" w:ascii="Times New Roman" w:hAnsi="Times New Roman" w:eastAsia="仿宋_GB2312"/>
          <w:b/>
          <w:bCs/>
          <w:sz w:val="32"/>
          <w:szCs w:val="32"/>
          <w:lang w:val="zh-CN"/>
        </w:rPr>
        <w:t>全力做好对口帮扶。</w:t>
      </w:r>
      <w:r>
        <w:rPr>
          <w:rFonts w:hint="eastAsia" w:ascii="Times New Roman" w:hAnsi="Times New Roman" w:eastAsia="仿宋_GB2312"/>
          <w:sz w:val="32"/>
          <w:szCs w:val="32"/>
          <w:lang w:val="zh-CN"/>
        </w:rPr>
        <w:t>巩固拓展脱贫攻坚成果，推动脱贫攻坚同乡村振兴有效衔接，打造全国支援帮扶的样板城市。做好东西部协作、援疆援藏和省内帮扶工作，加强产业协作和劳务协作，支持喀什（深圳）产业园，深圳与河源、汕尾共建产业园等对口帮扶地区产业园区建设。加大教育、医疗等领域帮扶力度，定期选派优秀教师、医生团队到被帮扶地区交流。建立健全社会参与机制，推进消费帮扶行动。</w:t>
      </w:r>
    </w:p>
    <w:p>
      <w:pPr>
        <w:overflowPunct w:val="0"/>
        <w:adjustRightInd w:val="0"/>
        <w:snapToGrid w:val="0"/>
        <w:spacing w:line="600" w:lineRule="exact"/>
        <w:ind w:firstLine="643" w:firstLineChars="200"/>
      </w:pPr>
      <w:r>
        <w:rPr>
          <w:rFonts w:hint="eastAsia" w:ascii="Times New Roman" w:hAnsi="Times New Roman" w:eastAsia="仿宋_GB2312"/>
          <w:b/>
          <w:bCs/>
          <w:sz w:val="32"/>
          <w:szCs w:val="32"/>
        </w:rPr>
        <w:t>积极融入国家区域发展大局。</w:t>
      </w:r>
      <w:r>
        <w:rPr>
          <w:rFonts w:hint="eastAsia" w:ascii="Times New Roman" w:hAnsi="Times New Roman" w:eastAsia="仿宋_GB2312"/>
          <w:sz w:val="32"/>
          <w:szCs w:val="32"/>
        </w:rPr>
        <w:t>深化与京津冀协同发展、长江经济带发展、长三角一体化发展、黄河流域生态保护和高质量发展等区域重大战略协同，提高交通通达和市场对接效率。主动对接雄安新区建设、浦东开发开放、海南自由贸易港建设、成渝地区双城经济圈建设，</w:t>
      </w:r>
      <w:r>
        <w:rPr>
          <w:rFonts w:hint="eastAsia" w:ascii="仿宋_GB2312" w:eastAsia="仿宋_GB2312"/>
          <w:sz w:val="32"/>
          <w:szCs w:val="32"/>
        </w:rPr>
        <w:t>加强改革联动、互学互鉴。</w:t>
      </w:r>
      <w:r>
        <w:rPr>
          <w:rFonts w:hint="eastAsia" w:ascii="Times New Roman" w:hAnsi="Times New Roman" w:eastAsia="仿宋_GB2312"/>
          <w:sz w:val="32"/>
          <w:szCs w:val="32"/>
        </w:rPr>
        <w:t>加强泛珠三角区域合作，积极参与珠江</w:t>
      </w:r>
      <w:r>
        <w:rPr>
          <w:rFonts w:hint="eastAsia" w:ascii="仿宋_GB2312" w:eastAsia="仿宋_GB2312"/>
          <w:sz w:val="32"/>
          <w:szCs w:val="32"/>
        </w:rPr>
        <w:t>-</w:t>
      </w:r>
      <w:r>
        <w:rPr>
          <w:rFonts w:hint="eastAsia" w:ascii="Times New Roman" w:hAnsi="Times New Roman" w:eastAsia="仿宋_GB2312"/>
          <w:sz w:val="32"/>
          <w:szCs w:val="32"/>
        </w:rPr>
        <w:t>西江经济带建设，拓展经济腹地</w:t>
      </w:r>
      <w:r>
        <w:rPr>
          <w:rFonts w:hint="eastAsia" w:ascii="仿宋_GB2312" w:eastAsia="仿宋_GB2312"/>
          <w:sz w:val="32"/>
          <w:szCs w:val="32"/>
        </w:rPr>
        <w:t>。</w:t>
      </w:r>
      <w:r>
        <w:rPr>
          <w:rFonts w:hint="eastAsia" w:ascii="Times New Roman" w:hAnsi="Times New Roman" w:eastAsia="仿宋_GB2312"/>
          <w:sz w:val="32"/>
          <w:szCs w:val="32"/>
        </w:rPr>
        <w:t>深化深哈合作，推进深圳（哈尔滨）产业园区开发</w:t>
      </w:r>
      <w:r>
        <w:rPr>
          <w:rFonts w:hint="eastAsia" w:ascii="仿宋_GB2312" w:eastAsia="仿宋_GB2312"/>
          <w:sz w:val="32"/>
          <w:szCs w:val="32"/>
        </w:rPr>
        <w:t>建设。加强与粤闽浙沿海城市群合作，加强与台湾的经贸合作和人文交流。</w:t>
      </w:r>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p>
    <w:p>
      <w:pPr>
        <w:rPr>
          <w:rFonts w:ascii="仿宋_GB2312" w:eastAsia="仿宋_GB2312"/>
          <w:sz w:val="32"/>
          <w:szCs w:val="32"/>
        </w:rPr>
      </w:pPr>
      <w:r>
        <w:rPr>
          <w:rFonts w:hint="eastAsia" w:ascii="仿宋_GB2312" w:eastAsia="仿宋_GB2312"/>
          <w:sz w:val="32"/>
          <w:szCs w:val="32"/>
        </w:rPr>
        <w:br w:type="page"/>
      </w:r>
    </w:p>
    <w:p>
      <w:pPr>
        <w:spacing w:line="600" w:lineRule="exact"/>
        <w:jc w:val="center"/>
        <w:outlineLvl w:val="1"/>
        <w:rPr>
          <w:rFonts w:ascii="黑体" w:hAnsi="黑体" w:eastAsia="黑体" w:cs="黑体"/>
          <w:sz w:val="36"/>
          <w:szCs w:val="36"/>
        </w:rPr>
      </w:pPr>
      <w:bookmarkStart w:id="1991" w:name="_Toc4036"/>
      <w:bookmarkStart w:id="1992" w:name="_Toc16521"/>
      <w:bookmarkStart w:id="1993" w:name="_Toc18927"/>
      <w:bookmarkStart w:id="1994" w:name="_Toc30518"/>
      <w:bookmarkStart w:id="1995" w:name="_Toc21461"/>
      <w:bookmarkStart w:id="1996" w:name="_Toc4489"/>
      <w:bookmarkStart w:id="1997" w:name="_Toc25985"/>
      <w:bookmarkStart w:id="1998" w:name="_Toc32729"/>
      <w:bookmarkStart w:id="1999" w:name="_Toc8692"/>
      <w:bookmarkStart w:id="2000" w:name="_Toc10112"/>
      <w:bookmarkStart w:id="2001" w:name="_Toc9531"/>
      <w:bookmarkStart w:id="2002" w:name="_Toc10193"/>
      <w:bookmarkStart w:id="2003" w:name="_Toc24417"/>
      <w:bookmarkStart w:id="2004" w:name="_Toc18601"/>
      <w:bookmarkStart w:id="2005" w:name="_Toc13041"/>
      <w:bookmarkStart w:id="2006" w:name="_Toc30698"/>
      <w:bookmarkStart w:id="2007" w:name="_Toc26593"/>
      <w:bookmarkStart w:id="2008" w:name="_Toc14492"/>
      <w:bookmarkStart w:id="2009" w:name="_Toc7922"/>
      <w:bookmarkStart w:id="2010" w:name="_Toc22437"/>
      <w:bookmarkStart w:id="2011" w:name="_Toc242"/>
      <w:bookmarkStart w:id="2012" w:name="_Toc18479"/>
      <w:bookmarkStart w:id="2013" w:name="_Toc29437"/>
      <w:bookmarkStart w:id="2014" w:name="_Toc12710"/>
      <w:bookmarkStart w:id="2015" w:name="_Toc30824"/>
      <w:bookmarkStart w:id="2016" w:name="_Toc9510"/>
      <w:bookmarkStart w:id="2017" w:name="_Toc8895"/>
      <w:bookmarkStart w:id="2018" w:name="_Toc16268"/>
      <w:bookmarkStart w:id="2019" w:name="_Toc16589"/>
      <w:bookmarkStart w:id="2020" w:name="_Toc30382"/>
      <w:bookmarkStart w:id="2021" w:name="_Toc10934"/>
      <w:bookmarkStart w:id="2022" w:name="_Toc27654"/>
      <w:bookmarkStart w:id="2023" w:name="_Toc25928"/>
      <w:bookmarkStart w:id="2024" w:name="_Toc32673"/>
      <w:bookmarkStart w:id="2025" w:name="_Toc13192"/>
      <w:bookmarkStart w:id="2026" w:name="_Toc20960"/>
      <w:bookmarkStart w:id="2027" w:name="_Toc30857"/>
      <w:bookmarkStart w:id="2028" w:name="_Toc9543"/>
      <w:bookmarkStart w:id="2029" w:name="_Toc30177"/>
      <w:bookmarkStart w:id="2030" w:name="_Toc23031"/>
      <w:bookmarkStart w:id="2031" w:name="_Toc27114"/>
      <w:bookmarkStart w:id="2032" w:name="_Toc16165"/>
      <w:bookmarkStart w:id="2033" w:name="_Toc4595"/>
      <w:bookmarkStart w:id="2034" w:name="_Toc29763"/>
      <w:bookmarkStart w:id="2035" w:name="_Toc28362"/>
      <w:bookmarkStart w:id="2036" w:name="_Toc29812"/>
      <w:bookmarkStart w:id="2037" w:name="_Toc27566"/>
      <w:bookmarkStart w:id="2038" w:name="_Toc31156"/>
      <w:bookmarkStart w:id="2039" w:name="_Toc16635"/>
      <w:bookmarkStart w:id="2040" w:name="_Toc428"/>
      <w:bookmarkStart w:id="2041" w:name="_Toc2159"/>
      <w:bookmarkStart w:id="2042" w:name="_Toc31937"/>
      <w:bookmarkStart w:id="2043" w:name="_Toc27682"/>
      <w:r>
        <w:rPr>
          <w:rFonts w:hint="eastAsia" w:ascii="黑体" w:hAnsi="黑体" w:eastAsia="黑体" w:cs="黑体"/>
          <w:sz w:val="36"/>
          <w:szCs w:val="36"/>
        </w:rPr>
        <w:t>第六章 提升城市功能品质</w:t>
      </w:r>
      <w:bookmarkEnd w:id="1991"/>
      <w:bookmarkEnd w:id="1992"/>
      <w:bookmarkEnd w:id="1993"/>
      <w:bookmarkEnd w:id="1994"/>
      <w:bookmarkEnd w:id="1995"/>
      <w:r>
        <w:rPr>
          <w:rFonts w:hint="eastAsia" w:ascii="黑体" w:hAnsi="黑体" w:eastAsia="黑体" w:cs="黑体"/>
          <w:sz w:val="36"/>
          <w:szCs w:val="36"/>
        </w:rPr>
        <w:t>和</w:t>
      </w:r>
      <w:bookmarkEnd w:id="1996"/>
      <w:bookmarkEnd w:id="1997"/>
      <w:bookmarkEnd w:id="1998"/>
      <w:bookmarkEnd w:id="1999"/>
      <w:bookmarkEnd w:id="2000"/>
      <w:bookmarkEnd w:id="2001"/>
      <w:bookmarkEnd w:id="2002"/>
      <w:bookmarkEnd w:id="2003"/>
      <w:bookmarkEnd w:id="2004"/>
      <w:bookmarkEnd w:id="2005"/>
      <w:bookmarkEnd w:id="2006"/>
      <w:r>
        <w:rPr>
          <w:rFonts w:hint="eastAsia" w:ascii="黑体" w:hAnsi="黑体" w:eastAsia="黑体" w:cs="黑体"/>
          <w:sz w:val="36"/>
          <w:szCs w:val="36"/>
        </w:rPr>
        <w:t>综合承载力</w:t>
      </w:r>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p>
    <w:p>
      <w:pPr>
        <w:spacing w:line="600" w:lineRule="exact"/>
      </w:pPr>
    </w:p>
    <w:p>
      <w:pPr>
        <w:spacing w:line="60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树立全周期管理意识，推进以人为核心的新型城镇化，统筹规划、建设、管理和生产、生活、生态等各个方面，</w:t>
      </w:r>
      <w:r>
        <w:rPr>
          <w:rFonts w:hint="eastAsia" w:ascii="仿宋_GB2312" w:hAnsi="仿宋_GB2312" w:eastAsia="仿宋_GB2312" w:cs="仿宋_GB2312"/>
          <w:sz w:val="32"/>
          <w:szCs w:val="32"/>
          <w:lang w:val="zh-CN"/>
        </w:rPr>
        <w:t>构建适应高质量发展要求的国土空间布局和支撑体系，强化城市承载力、吸引力、竞争力和可持续发展能力，</w:t>
      </w:r>
      <w:r>
        <w:rPr>
          <w:rStyle w:val="37"/>
          <w:rFonts w:hint="eastAsia" w:ascii="仿宋_GB2312" w:eastAsia="仿宋_GB2312"/>
          <w:sz w:val="32"/>
          <w:szCs w:val="32"/>
        </w:rPr>
        <w:t>探索高密度超大城市高品质发展路径</w:t>
      </w:r>
      <w:r>
        <w:rPr>
          <w:rFonts w:hint="eastAsia" w:ascii="仿宋_GB2312" w:hAnsi="仿宋_GB2312" w:eastAsia="仿宋_GB2312" w:cs="仿宋_GB2312"/>
          <w:sz w:val="32"/>
          <w:szCs w:val="32"/>
          <w:lang w:val="zh-CN"/>
        </w:rPr>
        <w:t>。</w:t>
      </w:r>
    </w:p>
    <w:p>
      <w:pPr>
        <w:spacing w:line="600" w:lineRule="exact"/>
        <w:ind w:firstLine="640" w:firstLineChars="200"/>
        <w:rPr>
          <w:rFonts w:ascii="仿宋_GB2312" w:eastAsia="仿宋_GB2312"/>
          <w:sz w:val="32"/>
          <w:szCs w:val="32"/>
        </w:rPr>
      </w:pPr>
    </w:p>
    <w:p>
      <w:pPr>
        <w:spacing w:line="600" w:lineRule="exact"/>
        <w:jc w:val="center"/>
        <w:outlineLvl w:val="2"/>
        <w:rPr>
          <w:rFonts w:ascii="楷体" w:hAnsi="楷体" w:eastAsia="楷体" w:cs="楷体"/>
          <w:b/>
          <w:bCs/>
          <w:sz w:val="32"/>
          <w:szCs w:val="32"/>
        </w:rPr>
      </w:pPr>
      <w:bookmarkStart w:id="2044" w:name="_Toc7006"/>
      <w:bookmarkStart w:id="2045" w:name="_Toc3743"/>
      <w:bookmarkStart w:id="2046" w:name="_Toc28659"/>
      <w:bookmarkStart w:id="2047" w:name="_Toc18073"/>
      <w:bookmarkStart w:id="2048" w:name="_Toc25102"/>
      <w:bookmarkStart w:id="2049" w:name="_Toc29839"/>
      <w:bookmarkStart w:id="2050" w:name="_Toc26543"/>
      <w:bookmarkStart w:id="2051" w:name="_Toc3921"/>
      <w:bookmarkStart w:id="2052" w:name="_Toc5027"/>
      <w:bookmarkStart w:id="2053" w:name="_Toc13193"/>
      <w:bookmarkStart w:id="2054" w:name="_Toc28777"/>
      <w:bookmarkStart w:id="2055" w:name="_Toc7636"/>
      <w:bookmarkStart w:id="2056" w:name="_Toc28132"/>
      <w:bookmarkStart w:id="2057" w:name="_Toc31235"/>
      <w:bookmarkStart w:id="2058" w:name="_Toc8164"/>
      <w:bookmarkStart w:id="2059" w:name="_Toc4341"/>
      <w:bookmarkStart w:id="2060" w:name="_Toc31491"/>
      <w:bookmarkStart w:id="2061" w:name="_Toc30628"/>
      <w:bookmarkStart w:id="2062" w:name="_Toc30642"/>
      <w:bookmarkStart w:id="2063" w:name="_Toc26468"/>
      <w:bookmarkStart w:id="2064" w:name="_Toc21908"/>
      <w:bookmarkStart w:id="2065" w:name="_Toc11616"/>
      <w:bookmarkStart w:id="2066" w:name="_Toc4302"/>
      <w:bookmarkStart w:id="2067" w:name="_Toc31370"/>
      <w:bookmarkStart w:id="2068" w:name="_Toc7021"/>
      <w:bookmarkStart w:id="2069" w:name="_Toc593"/>
      <w:bookmarkStart w:id="2070" w:name="_Toc10292"/>
      <w:bookmarkStart w:id="2071" w:name="_Toc30846"/>
      <w:bookmarkStart w:id="2072" w:name="_Toc4575"/>
      <w:bookmarkStart w:id="2073" w:name="_Toc23108"/>
      <w:bookmarkStart w:id="2074" w:name="_Toc6603"/>
      <w:bookmarkStart w:id="2075" w:name="_Toc20874"/>
      <w:bookmarkStart w:id="2076" w:name="_Toc25471"/>
      <w:bookmarkStart w:id="2077" w:name="_Toc1634"/>
      <w:bookmarkStart w:id="2078" w:name="_Toc8160"/>
      <w:bookmarkStart w:id="2079" w:name="_Toc8246"/>
      <w:bookmarkStart w:id="2080" w:name="_Toc24837"/>
      <w:bookmarkStart w:id="2081" w:name="_Toc8482"/>
      <w:bookmarkStart w:id="2082" w:name="_Toc10902"/>
      <w:bookmarkStart w:id="2083" w:name="_Toc17908"/>
      <w:bookmarkStart w:id="2084" w:name="_Toc697"/>
      <w:bookmarkStart w:id="2085" w:name="_Toc9940"/>
      <w:bookmarkStart w:id="2086" w:name="_Toc13615"/>
      <w:bookmarkStart w:id="2087" w:name="_Toc17713"/>
      <w:bookmarkStart w:id="2088" w:name="_Toc14896"/>
      <w:bookmarkStart w:id="2089" w:name="_Toc18339"/>
      <w:bookmarkStart w:id="2090" w:name="_Toc4995"/>
      <w:bookmarkStart w:id="2091" w:name="_Toc4845"/>
      <w:bookmarkStart w:id="2092" w:name="_Toc6098"/>
      <w:bookmarkStart w:id="2093" w:name="_Toc18562"/>
      <w:bookmarkStart w:id="2094" w:name="_Toc11067"/>
      <w:bookmarkStart w:id="2095" w:name="_Toc1772"/>
      <w:bookmarkStart w:id="2096" w:name="_Toc18462"/>
      <w:r>
        <w:rPr>
          <w:rFonts w:hint="eastAsia" w:ascii="楷体" w:hAnsi="楷体" w:eastAsia="楷体" w:cs="楷体"/>
          <w:b/>
          <w:bCs/>
          <w:sz w:val="32"/>
          <w:szCs w:val="32"/>
        </w:rPr>
        <w:t>第一节 形成开放弹性有机紧凑的城市发展格局</w:t>
      </w:r>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p>
    <w:p>
      <w:pPr>
        <w:pStyle w:val="40"/>
        <w:overflowPunct w:val="0"/>
        <w:spacing w:after="156" w:afterLines="50" w:line="600" w:lineRule="exact"/>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实施“东进、西协、南联、北拓、中优”战略。</w:t>
      </w:r>
      <w:r>
        <w:rPr>
          <w:rFonts w:hint="eastAsia" w:ascii="仿宋_GB2312" w:hAnsi="仿宋_GB2312" w:eastAsia="仿宋_GB2312" w:cs="仿宋_GB2312"/>
          <w:sz w:val="32"/>
          <w:szCs w:val="32"/>
        </w:rPr>
        <w:t>提高“中优”程度，聚焦发展现代金融、科技创新、专业服务等核心功能，打造多功能融合的城市活力中心。加快“东进”步伐，以更大力度推动发展要素和城市服务功能东进，提升东部发展能级和引领带动作用。强化“西协”力度，优化西部向湾格局，带动珠江口东西两岸融合互动发展。推进“南联”深度，深化深港协同发展，携手香港共同在大湾区建设中发挥极点带动作用。加大“北拓”强度，集聚科技创新、高端制造等发展要素，拓展深圳北部产业腹地和战略纵深。</w:t>
      </w:r>
    </w:p>
    <w:tbl>
      <w:tblPr>
        <w:tblStyle w:val="28"/>
        <w:tblW w:w="8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18" w:type="dxa"/>
            <w:shd w:val="clear" w:color="auto" w:fill="auto"/>
            <w:vAlign w:val="center"/>
          </w:tcPr>
          <w:p>
            <w:pPr>
              <w:pStyle w:val="40"/>
              <w:overflowPunct w:val="0"/>
              <w:adjustRightInd w:val="0"/>
              <w:snapToGrid w:val="0"/>
              <w:spacing w:line="390" w:lineRule="exact"/>
              <w:ind w:firstLine="0" w:firstLineChars="0"/>
              <w:jc w:val="center"/>
              <w:rPr>
                <w:rFonts w:ascii="宋体" w:hAnsi="宋体" w:cs="宋体"/>
                <w:b/>
                <w:color w:val="000000"/>
                <w:sz w:val="24"/>
              </w:rPr>
            </w:pPr>
            <w:r>
              <w:rPr>
                <w:rFonts w:hint="eastAsia" w:ascii="宋体" w:hAnsi="宋体" w:cs="宋体"/>
                <w:b/>
                <w:color w:val="000000"/>
                <w:sz w:val="24"/>
              </w:rPr>
              <w:t>专栏4：各区（新区、深汕特别合作区）发展定位</w:t>
            </w:r>
          </w:p>
          <w:p>
            <w:pPr>
              <w:pStyle w:val="43"/>
              <w:numPr>
                <w:ilvl w:val="0"/>
                <w:numId w:val="2"/>
              </w:numPr>
              <w:overflowPunct w:val="0"/>
              <w:adjustRightInd w:val="0"/>
              <w:snapToGrid w:val="0"/>
              <w:spacing w:line="390" w:lineRule="exact"/>
              <w:ind w:left="482" w:hanging="482" w:hangingChars="200"/>
              <w:rPr>
                <w:rFonts w:ascii="宋体" w:hAnsi="宋体" w:cs="宋体"/>
                <w:bCs/>
                <w:color w:val="000000"/>
                <w:sz w:val="24"/>
              </w:rPr>
            </w:pPr>
            <w:r>
              <w:rPr>
                <w:rFonts w:hint="eastAsia" w:ascii="宋体" w:hAnsi="宋体" w:cs="宋体"/>
                <w:b/>
                <w:color w:val="000000"/>
                <w:sz w:val="24"/>
              </w:rPr>
              <w:t>福田区：</w:t>
            </w:r>
            <w:r>
              <w:rPr>
                <w:rFonts w:hint="eastAsia" w:ascii="宋体" w:hAnsi="宋体" w:cs="宋体"/>
                <w:color w:val="000000"/>
                <w:sz w:val="24"/>
              </w:rPr>
              <w:t>深圳</w:t>
            </w:r>
            <w:r>
              <w:rPr>
                <w:rFonts w:hint="eastAsia" w:ascii="宋体" w:hAnsi="宋体" w:cs="宋体"/>
                <w:bCs/>
                <w:color w:val="000000"/>
                <w:sz w:val="24"/>
              </w:rPr>
              <w:t>行政、文化、金融、商务和国际交往中心，总部经济核心区、现代服务业集聚区，聚焦河套深港科技创新合作区、香蜜湖新金融中心、环中心公园活力圈“三大新引擎”，打造具有国际影响力和辐射力的中央创新区、中央商务区、中央活力区。</w:t>
            </w:r>
          </w:p>
          <w:p>
            <w:pPr>
              <w:pStyle w:val="43"/>
              <w:numPr>
                <w:ilvl w:val="0"/>
                <w:numId w:val="2"/>
              </w:numPr>
              <w:overflowPunct w:val="0"/>
              <w:adjustRightInd w:val="0"/>
              <w:snapToGrid w:val="0"/>
              <w:spacing w:line="390" w:lineRule="exact"/>
              <w:ind w:left="482" w:hanging="482" w:hangingChars="200"/>
              <w:rPr>
                <w:rFonts w:ascii="宋体" w:hAnsi="宋体" w:cs="宋体"/>
                <w:bCs/>
                <w:color w:val="000000"/>
                <w:sz w:val="24"/>
              </w:rPr>
            </w:pPr>
            <w:r>
              <w:rPr>
                <w:rFonts w:hint="eastAsia" w:ascii="宋体" w:hAnsi="宋体" w:cs="宋体"/>
                <w:b/>
                <w:color w:val="000000"/>
                <w:sz w:val="24"/>
              </w:rPr>
              <w:t>罗湖区：</w:t>
            </w:r>
            <w:r>
              <w:rPr>
                <w:rFonts w:hint="eastAsia" w:ascii="宋体" w:hAnsi="宋体" w:cs="宋体"/>
                <w:bCs/>
                <w:color w:val="000000"/>
                <w:sz w:val="24"/>
              </w:rPr>
              <w:t>深港社会协同发展示范区、现代服务业创新发展集聚区、金融商贸中心和国际消费中心，重点推进蔡屋围-深圳火车站-东门片区、笋岗-清水河片区、新秀</w:t>
            </w:r>
            <w:r>
              <w:rPr>
                <w:rFonts w:ascii="宋体" w:hAnsi="宋体" w:cs="宋体"/>
                <w:bCs/>
                <w:color w:val="000000"/>
                <w:sz w:val="24"/>
              </w:rPr>
              <w:t>-莲塘片区</w:t>
            </w:r>
            <w:r>
              <w:rPr>
                <w:rFonts w:hint="eastAsia" w:ascii="宋体" w:hAnsi="宋体" w:cs="宋体"/>
                <w:bCs/>
                <w:color w:val="000000"/>
                <w:sz w:val="24"/>
              </w:rPr>
              <w:t>建设，打造罗湖可持续发展先锋城区。</w:t>
            </w:r>
          </w:p>
          <w:p>
            <w:pPr>
              <w:pStyle w:val="43"/>
              <w:numPr>
                <w:ilvl w:val="0"/>
                <w:numId w:val="2"/>
              </w:numPr>
              <w:overflowPunct w:val="0"/>
              <w:adjustRightInd w:val="0"/>
              <w:snapToGrid w:val="0"/>
              <w:spacing w:line="390" w:lineRule="exact"/>
              <w:ind w:left="482" w:hanging="482" w:hangingChars="200"/>
              <w:rPr>
                <w:rFonts w:ascii="宋体" w:hAnsi="宋体" w:cs="宋体"/>
                <w:bCs/>
                <w:color w:val="000000"/>
                <w:sz w:val="24"/>
              </w:rPr>
            </w:pPr>
            <w:r>
              <w:rPr>
                <w:rFonts w:hint="eastAsia" w:ascii="宋体" w:hAnsi="宋体" w:cs="宋体"/>
                <w:b/>
                <w:color w:val="000000"/>
                <w:sz w:val="24"/>
              </w:rPr>
              <w:t>盐田区：</w:t>
            </w:r>
            <w:r>
              <w:rPr>
                <w:rFonts w:hint="eastAsia" w:ascii="宋体" w:hAnsi="宋体" w:cs="宋体"/>
                <w:bCs/>
                <w:color w:val="000000"/>
                <w:sz w:val="24"/>
              </w:rPr>
              <w:t>国际航运中心、海洋新兴产业高地、滨海旅游重要基地，重点推进沙头角深港国际旅游消费合作区、盐田中心片区、盐田河临港产业带建设，打造盐田国际航运枢纽和离岸贸易中心。</w:t>
            </w:r>
          </w:p>
          <w:p>
            <w:pPr>
              <w:pStyle w:val="43"/>
              <w:numPr>
                <w:ilvl w:val="0"/>
                <w:numId w:val="2"/>
              </w:numPr>
              <w:overflowPunct w:val="0"/>
              <w:adjustRightInd w:val="0"/>
              <w:snapToGrid w:val="0"/>
              <w:spacing w:line="390" w:lineRule="exact"/>
              <w:ind w:left="482" w:hanging="482" w:hangingChars="200"/>
              <w:rPr>
                <w:rFonts w:ascii="宋体" w:hAnsi="宋体" w:cs="宋体"/>
                <w:bCs/>
                <w:color w:val="000000"/>
                <w:sz w:val="24"/>
              </w:rPr>
            </w:pPr>
            <w:r>
              <w:rPr>
                <w:rFonts w:hint="eastAsia" w:ascii="宋体" w:hAnsi="宋体" w:cs="宋体"/>
                <w:b/>
                <w:color w:val="000000"/>
                <w:sz w:val="24"/>
              </w:rPr>
              <w:t>南山区：</w:t>
            </w:r>
            <w:r>
              <w:rPr>
                <w:rFonts w:hint="eastAsia" w:ascii="宋体" w:hAnsi="宋体" w:cs="宋体"/>
                <w:bCs/>
                <w:color w:val="000000"/>
                <w:sz w:val="24"/>
              </w:rPr>
              <w:t>科技产业创新、高等教育和总部经济集聚区，重点推进前海深港现代服务业合作区、西丽湖国际科教城、蛇口国际海洋城、西丽高铁新城、深圳湾超级总部基地建设，打造南山中央智力区和世界级创新型滨海中心城区。</w:t>
            </w:r>
          </w:p>
          <w:p>
            <w:pPr>
              <w:pStyle w:val="43"/>
              <w:numPr>
                <w:ilvl w:val="0"/>
                <w:numId w:val="2"/>
              </w:numPr>
              <w:overflowPunct w:val="0"/>
              <w:adjustRightInd w:val="0"/>
              <w:snapToGrid w:val="0"/>
              <w:spacing w:line="390" w:lineRule="exact"/>
              <w:ind w:left="482" w:hanging="482" w:hangingChars="200"/>
              <w:rPr>
                <w:rFonts w:ascii="宋体" w:hAnsi="宋体" w:cs="宋体"/>
                <w:bCs/>
                <w:color w:val="000000"/>
                <w:sz w:val="24"/>
              </w:rPr>
            </w:pPr>
            <w:r>
              <w:rPr>
                <w:rFonts w:hint="eastAsia" w:ascii="宋体" w:hAnsi="宋体" w:cs="宋体"/>
                <w:b/>
                <w:color w:val="000000"/>
                <w:sz w:val="24"/>
              </w:rPr>
              <w:t>宝安区：</w:t>
            </w:r>
            <w:r>
              <w:rPr>
                <w:rFonts w:hint="eastAsia" w:ascii="宋体" w:hAnsi="宋体" w:cs="宋体"/>
                <w:bCs/>
                <w:color w:val="000000"/>
                <w:sz w:val="24"/>
              </w:rPr>
              <w:t>深圳城市西部中心、国际航空枢纽，重点发展数字经济、会展经济、海洋经济、临空经济、文旅经济和高端制造，重点推进宝安中心区、空铁门户区、会展海洋城、石岩科创城、燕罗智造生态城建设，打造宝安珠江口两岸融合发展引领区。</w:t>
            </w:r>
          </w:p>
          <w:p>
            <w:pPr>
              <w:pStyle w:val="43"/>
              <w:numPr>
                <w:ilvl w:val="0"/>
                <w:numId w:val="2"/>
              </w:numPr>
              <w:overflowPunct w:val="0"/>
              <w:adjustRightInd w:val="0"/>
              <w:snapToGrid w:val="0"/>
              <w:spacing w:line="390" w:lineRule="exact"/>
              <w:ind w:left="482" w:hanging="482" w:hangingChars="200"/>
              <w:rPr>
                <w:rFonts w:ascii="宋体" w:hAnsi="宋体" w:cs="宋体"/>
                <w:bCs/>
                <w:color w:val="000000"/>
                <w:sz w:val="24"/>
              </w:rPr>
            </w:pPr>
            <w:r>
              <w:rPr>
                <w:rFonts w:hint="eastAsia" w:ascii="宋体" w:hAnsi="宋体" w:cs="宋体"/>
                <w:b/>
                <w:color w:val="000000"/>
                <w:sz w:val="24"/>
              </w:rPr>
              <w:t>龙岗区</w:t>
            </w:r>
            <w:r>
              <w:rPr>
                <w:rFonts w:hint="eastAsia" w:ascii="宋体" w:hAnsi="宋体" w:cs="宋体"/>
                <w:bCs/>
                <w:color w:val="000000"/>
                <w:sz w:val="24"/>
              </w:rPr>
              <w:t>：深圳城市东部中心、高等教育国际合作中心、国际文体活动交流中心，重点推进大运深港国际科教城、坂雪岗科技城、东部高铁新城、国际低碳城、宝龙科技城等片区建设，形成“一芯两核多支点”发展格局，打造龙岗国家级产城融合示范区和全球电子信息产业高地。</w:t>
            </w:r>
          </w:p>
          <w:p>
            <w:pPr>
              <w:pStyle w:val="43"/>
              <w:numPr>
                <w:ilvl w:val="0"/>
                <w:numId w:val="2"/>
              </w:numPr>
              <w:overflowPunct w:val="0"/>
              <w:adjustRightInd w:val="0"/>
              <w:snapToGrid w:val="0"/>
              <w:spacing w:line="390" w:lineRule="exact"/>
              <w:ind w:left="482" w:hanging="482" w:hangingChars="200"/>
              <w:rPr>
                <w:rFonts w:ascii="宋体" w:hAnsi="宋体" w:cs="宋体"/>
                <w:bCs/>
                <w:color w:val="000000"/>
                <w:sz w:val="24"/>
              </w:rPr>
            </w:pPr>
            <w:r>
              <w:rPr>
                <w:rFonts w:hint="eastAsia" w:ascii="宋体" w:hAnsi="宋体" w:cs="宋体"/>
                <w:b/>
                <w:color w:val="000000"/>
                <w:sz w:val="24"/>
              </w:rPr>
              <w:t>龙华区：</w:t>
            </w:r>
            <w:r>
              <w:rPr>
                <w:rFonts w:hint="eastAsia" w:ascii="宋体" w:hAnsi="宋体" w:cs="宋体"/>
                <w:bCs/>
                <w:color w:val="000000"/>
                <w:sz w:val="24"/>
              </w:rPr>
              <w:t>深圳中部综合服务中心、</w:t>
            </w:r>
            <w:r>
              <w:rPr>
                <w:rFonts w:hint="eastAsia" w:ascii="宋体" w:hAnsi="宋体" w:cs="宋体"/>
                <w:color w:val="000000"/>
                <w:sz w:val="24"/>
              </w:rPr>
              <w:t>数字经济先行区、未来城市试验区、</w:t>
            </w:r>
            <w:r>
              <w:rPr>
                <w:rFonts w:hint="eastAsia" w:ascii="宋体" w:hAnsi="宋体" w:cs="宋体"/>
                <w:bCs/>
                <w:color w:val="000000"/>
                <w:sz w:val="24"/>
              </w:rPr>
              <w:t>智慧治理示范区、重要交通枢纽、新兴产业高地和时尚产业新城，重点推进北站国际商务区、九龙山数字城、鹭湖中心城、龙华国际商圈、大浪时尚小镇、观澜文化小镇建设，打造大湾区国际化创新型中轴新城。</w:t>
            </w:r>
          </w:p>
          <w:p>
            <w:pPr>
              <w:pStyle w:val="43"/>
              <w:numPr>
                <w:ilvl w:val="0"/>
                <w:numId w:val="2"/>
              </w:numPr>
              <w:overflowPunct w:val="0"/>
              <w:adjustRightInd w:val="0"/>
              <w:snapToGrid w:val="0"/>
              <w:spacing w:line="390" w:lineRule="exact"/>
              <w:ind w:left="482" w:hanging="482" w:hangingChars="200"/>
              <w:rPr>
                <w:rFonts w:ascii="宋体" w:hAnsi="宋体" w:cs="宋体"/>
                <w:bCs/>
                <w:color w:val="000000"/>
                <w:sz w:val="24"/>
              </w:rPr>
            </w:pPr>
            <w:r>
              <w:rPr>
                <w:rFonts w:hint="eastAsia" w:ascii="宋体" w:hAnsi="宋体" w:cs="宋体"/>
                <w:b/>
                <w:color w:val="000000"/>
                <w:sz w:val="24"/>
              </w:rPr>
              <w:t>坪山区：</w:t>
            </w:r>
            <w:r>
              <w:rPr>
                <w:rFonts w:hint="eastAsia" w:ascii="宋体" w:hAnsi="宋体" w:cs="宋体"/>
                <w:bCs/>
                <w:color w:val="000000"/>
                <w:sz w:val="24"/>
              </w:rPr>
              <w:t>深圳城市东部中心、综合交通枢纽、高新技术产业和先进制造业创新集聚区、生物医药科技产业城，重点推进坪山中心区、高新区坪山园区建设，打造深圳未来产业试验区和深港科技创新合作区延伸区。</w:t>
            </w:r>
          </w:p>
          <w:p>
            <w:pPr>
              <w:pStyle w:val="43"/>
              <w:numPr>
                <w:ilvl w:val="0"/>
                <w:numId w:val="2"/>
              </w:numPr>
              <w:overflowPunct w:val="0"/>
              <w:adjustRightInd w:val="0"/>
              <w:snapToGrid w:val="0"/>
              <w:spacing w:line="390" w:lineRule="exact"/>
              <w:ind w:left="482" w:hanging="482" w:hangingChars="200"/>
              <w:rPr>
                <w:rFonts w:ascii="宋体" w:hAnsi="宋体" w:cs="宋体"/>
                <w:bCs/>
                <w:color w:val="000000"/>
                <w:sz w:val="24"/>
              </w:rPr>
            </w:pPr>
            <w:r>
              <w:rPr>
                <w:rFonts w:hint="eastAsia" w:ascii="宋体" w:hAnsi="宋体" w:cs="宋体"/>
                <w:b/>
                <w:color w:val="000000"/>
                <w:sz w:val="24"/>
              </w:rPr>
              <w:t>光明区：</w:t>
            </w:r>
            <w:r>
              <w:rPr>
                <w:rFonts w:hint="eastAsia" w:ascii="宋体" w:hAnsi="宋体" w:cs="宋体"/>
                <w:bCs/>
                <w:color w:val="000000"/>
                <w:sz w:val="24"/>
              </w:rPr>
              <w:t>深圳北部中心、科技创新中心、重要交通枢纽，科研经济先导区、高新技术产业和先进制造业集聚区，重点打造光明科学城装置集聚区、光明中心区、光明凤凰城、茅洲河-龙大复合功能走廊等片区，建设大湾区综合性国家科学中心先行启动区。</w:t>
            </w:r>
          </w:p>
          <w:p>
            <w:pPr>
              <w:pStyle w:val="43"/>
              <w:numPr>
                <w:ilvl w:val="0"/>
                <w:numId w:val="2"/>
              </w:numPr>
              <w:overflowPunct w:val="0"/>
              <w:adjustRightInd w:val="0"/>
              <w:snapToGrid w:val="0"/>
              <w:spacing w:line="390" w:lineRule="exact"/>
              <w:ind w:left="482" w:hanging="482" w:hangingChars="200"/>
              <w:rPr>
                <w:rFonts w:ascii="宋体" w:hAnsi="宋体" w:cs="宋体"/>
                <w:bCs/>
                <w:color w:val="000000"/>
                <w:sz w:val="24"/>
              </w:rPr>
            </w:pPr>
            <w:r>
              <w:rPr>
                <w:rFonts w:hint="eastAsia" w:ascii="宋体" w:hAnsi="宋体" w:cs="宋体"/>
                <w:b/>
                <w:color w:val="000000"/>
                <w:sz w:val="24"/>
              </w:rPr>
              <w:t>大鹏新区：</w:t>
            </w:r>
            <w:r>
              <w:rPr>
                <w:rFonts w:hint="eastAsia" w:ascii="宋体" w:hAnsi="宋体" w:cs="宋体"/>
                <w:bCs/>
                <w:color w:val="000000"/>
                <w:sz w:val="24"/>
              </w:rPr>
              <w:t>滨海旅游服务中心、海洋科技和教育基地、精准医疗和康复医学发展先锋区，重点推进葵涌中心区、坝光国际生物谷、龙岐-新大、下沙-南澳墟镇建设，打造世界级滨海生态旅游度假区和全球海洋中心城市集中承载区。</w:t>
            </w:r>
          </w:p>
          <w:p>
            <w:pPr>
              <w:pStyle w:val="43"/>
              <w:numPr>
                <w:ilvl w:val="0"/>
                <w:numId w:val="2"/>
              </w:numPr>
              <w:overflowPunct w:val="0"/>
              <w:adjustRightInd w:val="0"/>
              <w:snapToGrid w:val="0"/>
              <w:spacing w:line="390" w:lineRule="exact"/>
              <w:ind w:left="482" w:hanging="482" w:hangingChars="200"/>
              <w:rPr>
                <w:rFonts w:ascii="宋体" w:hAnsi="宋体" w:cs="宋体"/>
                <w:bCs/>
                <w:color w:val="000000"/>
                <w:sz w:val="24"/>
              </w:rPr>
            </w:pPr>
            <w:r>
              <w:rPr>
                <w:rFonts w:hint="eastAsia" w:ascii="宋体" w:hAnsi="宋体" w:cs="宋体"/>
                <w:b/>
                <w:color w:val="000000"/>
                <w:sz w:val="24"/>
              </w:rPr>
              <w:t>深汕特别合作区：</w:t>
            </w:r>
            <w:r>
              <w:rPr>
                <w:rFonts w:hint="eastAsia" w:ascii="宋体" w:hAnsi="宋体" w:cs="宋体"/>
                <w:color w:val="000000"/>
                <w:sz w:val="24"/>
              </w:rPr>
              <w:t>航空航天、装备制造等先进制造业基地，</w:t>
            </w:r>
            <w:r>
              <w:rPr>
                <w:rFonts w:hint="eastAsia" w:ascii="宋体" w:hAnsi="宋体" w:cs="宋体"/>
                <w:bCs/>
                <w:color w:val="000000"/>
                <w:sz w:val="24"/>
              </w:rPr>
              <w:t>重点推进</w:t>
            </w:r>
            <w:r>
              <w:rPr>
                <w:rFonts w:hint="eastAsia" w:ascii="宋体" w:hAnsi="宋体" w:cs="宋体"/>
                <w:color w:val="000000"/>
                <w:sz w:val="24"/>
              </w:rPr>
              <w:t>中心区和先进制造业集中承载区建设，打造深圳产业体系拓展、城市功能延伸的新兴城区和现代化国际性滨海智慧新城，培育带动粤东沿海经济带崛起的新中心。</w:t>
            </w:r>
          </w:p>
        </w:tc>
      </w:tr>
    </w:tbl>
    <w:p>
      <w:pPr>
        <w:pStyle w:val="40"/>
        <w:spacing w:before="78" w:beforeLines="25" w:line="600" w:lineRule="exact"/>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优化“多中心、网络化、组团式、生态型”空间结构。</w:t>
      </w:r>
      <w:r>
        <w:rPr>
          <w:rFonts w:hint="eastAsia" w:ascii="仿宋_GB2312" w:hAnsi="仿宋_GB2312" w:eastAsia="仿宋_GB2312" w:cs="仿宋_GB2312"/>
          <w:sz w:val="32"/>
          <w:szCs w:val="32"/>
        </w:rPr>
        <w:t>实施点轴网络式联动、分区差异化发展的空间策略，构建“一核多心网络化”的城市空间体系。推动都市核心区扩容提质，将宝安区的新安、西乡街道，龙华区的民治、龙华街道，龙岗区的坂田、布吉、吉华、南湾街道等纳入都市核心区。构建位于城市外围区域的多个综合性或专业化市级服务中心，建设一批产城融合、职住平衡、生态宜居、交通便利的现代化新城，形成布局相对均衡、功能差异化分工协作的多中心空间格局。</w:t>
      </w:r>
    </w:p>
    <w:p>
      <w:pPr>
        <w:pStyle w:val="40"/>
        <w:overflowPunct w:val="0"/>
        <w:spacing w:line="600" w:lineRule="exact"/>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高标准推进重点区域开发建设。</w:t>
      </w:r>
      <w:r>
        <w:rPr>
          <w:rFonts w:hint="eastAsia" w:ascii="仿宋_GB2312" w:hAnsi="仿宋_GB2312" w:eastAsia="仿宋_GB2312" w:cs="仿宋_GB2312"/>
          <w:sz w:val="32"/>
          <w:szCs w:val="32"/>
        </w:rPr>
        <w:t>坚持高起点规划、前瞻性布局、匠心式打造，加快形成产业发展新空间、经济增长新动力源。创新</w:t>
      </w:r>
      <w:r>
        <w:rPr>
          <w:rStyle w:val="37"/>
          <w:rFonts w:hint="eastAsia" w:ascii="仿宋_GB2312" w:hAnsi="仿宋_GB2312" w:eastAsia="仿宋_GB2312" w:cs="仿宋_GB2312"/>
          <w:sz w:val="32"/>
          <w:szCs w:val="32"/>
        </w:rPr>
        <w:t>重点区域开发模式，</w:t>
      </w:r>
      <w:r>
        <w:rPr>
          <w:rFonts w:hint="eastAsia" w:ascii="仿宋_GB2312" w:hAnsi="仿宋_GB2312" w:eastAsia="仿宋_GB2312" w:cs="仿宋_GB2312"/>
          <w:sz w:val="32"/>
          <w:szCs w:val="32"/>
        </w:rPr>
        <w:t>坚持基础先行、</w:t>
      </w:r>
      <w:r>
        <w:rPr>
          <w:rStyle w:val="37"/>
          <w:rFonts w:hint="eastAsia" w:ascii="仿宋_GB2312" w:hAnsi="仿宋_GB2312" w:eastAsia="仿宋_GB2312" w:cs="仿宋_GB2312"/>
          <w:sz w:val="32"/>
          <w:szCs w:val="32"/>
        </w:rPr>
        <w:t>公共配套、</w:t>
      </w:r>
      <w:r>
        <w:rPr>
          <w:rFonts w:hint="eastAsia" w:ascii="仿宋_GB2312" w:hAnsi="仿宋_GB2312" w:eastAsia="仿宋_GB2312" w:cs="仿宋_GB2312"/>
          <w:sz w:val="32"/>
          <w:szCs w:val="32"/>
        </w:rPr>
        <w:t>共性开发、差异发展，</w:t>
      </w:r>
      <w:r>
        <w:rPr>
          <w:rStyle w:val="37"/>
          <w:rFonts w:hint="eastAsia" w:ascii="仿宋_GB2312" w:hAnsi="仿宋_GB2312" w:eastAsia="仿宋_GB2312" w:cs="仿宋_GB2312"/>
          <w:sz w:val="32"/>
          <w:szCs w:val="32"/>
        </w:rPr>
        <w:t>实行更高的城市规划标准和建筑设计规则，打造</w:t>
      </w:r>
      <w:r>
        <w:rPr>
          <w:rFonts w:hint="eastAsia" w:ascii="仿宋_GB2312" w:hAnsi="仿宋_GB2312" w:eastAsia="仿宋_GB2312" w:cs="仿宋_GB2312"/>
          <w:sz w:val="32"/>
          <w:szCs w:val="32"/>
        </w:rPr>
        <w:t>一批充满魅力的国际化城市新客厅，</w:t>
      </w:r>
      <w:r>
        <w:rPr>
          <w:rStyle w:val="37"/>
          <w:rFonts w:hint="eastAsia" w:ascii="仿宋_GB2312" w:hAnsi="仿宋_GB2312" w:eastAsia="仿宋_GB2312" w:cs="仿宋_GB2312"/>
          <w:sz w:val="32"/>
          <w:szCs w:val="32"/>
        </w:rPr>
        <w:t>建设各具特色、错位发展、品质卓越的国际化街区</w:t>
      </w:r>
      <w:r>
        <w:rPr>
          <w:rFonts w:hint="eastAsia" w:ascii="仿宋_GB2312" w:hAnsi="仿宋_GB2312" w:eastAsia="仿宋_GB2312" w:cs="仿宋_GB2312"/>
          <w:sz w:val="32"/>
          <w:szCs w:val="32"/>
        </w:rPr>
        <w:t>。加大对重点区域政策支持力度</w:t>
      </w:r>
      <w:r>
        <w:rPr>
          <w:rStyle w:val="37"/>
          <w:rFonts w:hint="eastAsia" w:ascii="仿宋_GB2312" w:hAnsi="仿宋_GB2312" w:eastAsia="仿宋_GB2312" w:cs="仿宋_GB2312"/>
          <w:sz w:val="32"/>
          <w:szCs w:val="32"/>
        </w:rPr>
        <w:t>，优先布局重点产业项目和重大公共服务设施，</w:t>
      </w:r>
      <w:r>
        <w:rPr>
          <w:rFonts w:hint="eastAsia" w:ascii="仿宋_GB2312" w:hAnsi="仿宋_GB2312" w:eastAsia="仿宋_GB2312" w:cs="仿宋_GB2312"/>
          <w:sz w:val="32"/>
          <w:szCs w:val="32"/>
        </w:rPr>
        <w:t>加强综合交通网络覆盖。</w:t>
      </w:r>
    </w:p>
    <w:p>
      <w:pPr>
        <w:pStyle w:val="40"/>
        <w:overflowPunct w:val="0"/>
        <w:spacing w:line="600" w:lineRule="exact"/>
        <w:ind w:firstLine="643"/>
        <w:rPr>
          <w:rStyle w:val="37"/>
          <w:rFonts w:ascii="仿宋_GB2312" w:hAnsi="仿宋_GB2312" w:eastAsia="仿宋_GB2312" w:cs="仿宋_GB2312"/>
          <w:bCs/>
          <w:sz w:val="32"/>
          <w:szCs w:val="32"/>
        </w:rPr>
      </w:pPr>
      <w:r>
        <w:rPr>
          <w:rFonts w:hint="eastAsia" w:ascii="仿宋_GB2312" w:hAnsi="仿宋_GB2312" w:eastAsia="仿宋_GB2312" w:cs="仿宋_GB2312"/>
          <w:b/>
          <w:sz w:val="32"/>
          <w:szCs w:val="32"/>
        </w:rPr>
        <w:t>加快深汕特别合作区建设。</w:t>
      </w:r>
      <w:r>
        <w:rPr>
          <w:rFonts w:hint="eastAsia" w:ascii="仿宋_GB2312" w:hAnsi="仿宋_GB2312" w:eastAsia="仿宋_GB2312" w:cs="仿宋_GB2312"/>
          <w:sz w:val="32"/>
          <w:szCs w:val="32"/>
        </w:rPr>
        <w:t>创新完善合作区管理体制机制，深化农村土地制度改革，探索区域协调发展新路径，建设区域协调发展示范区。规划建设先进制造业集中承载区和深圳港东部拓展区，主动承接深圳乃至粤港澳大湾区临港产业转移和先进技术转化，建设国际一流的东部产业新城。高标准推进合作区规划建设，</w:t>
      </w:r>
      <w:r>
        <w:rPr>
          <w:rStyle w:val="37"/>
          <w:rFonts w:hint="eastAsia" w:ascii="仿宋_GB2312" w:hAnsi="仿宋_GB2312" w:eastAsia="仿宋_GB2312" w:cs="仿宋_GB2312"/>
          <w:bCs/>
          <w:sz w:val="32"/>
          <w:szCs w:val="32"/>
        </w:rPr>
        <w:t>统筹推进基础设施同城化与公共服务均等化发展，</w:t>
      </w:r>
      <w:r>
        <w:rPr>
          <w:rFonts w:hint="eastAsia" w:ascii="仿宋_GB2312" w:hAnsi="仿宋_GB2312" w:eastAsia="仿宋_GB2312" w:cs="仿宋_GB2312"/>
          <w:sz w:val="32"/>
          <w:szCs w:val="32"/>
        </w:rPr>
        <w:t>实施好乡村振兴战略，推动城乡融合发展，</w:t>
      </w:r>
      <w:r>
        <w:rPr>
          <w:rStyle w:val="37"/>
          <w:rFonts w:hint="eastAsia" w:ascii="仿宋_GB2312" w:hAnsi="仿宋_GB2312" w:eastAsia="仿宋_GB2312" w:cs="仿宋_GB2312"/>
          <w:bCs/>
          <w:sz w:val="32"/>
          <w:szCs w:val="32"/>
        </w:rPr>
        <w:t>促进农业高质高效、乡村宜居宜业、农民富裕富足。</w:t>
      </w:r>
    </w:p>
    <w:p>
      <w:pPr>
        <w:pStyle w:val="40"/>
        <w:overflowPunct w:val="0"/>
        <w:spacing w:line="600" w:lineRule="exact"/>
        <w:ind w:firstLine="640"/>
        <w:rPr>
          <w:rStyle w:val="37"/>
          <w:rFonts w:ascii="仿宋_GB2312" w:hAnsi="仿宋_GB2312" w:eastAsia="仿宋_GB2312" w:cs="仿宋_GB2312"/>
          <w:bCs/>
          <w:sz w:val="32"/>
          <w:szCs w:val="32"/>
        </w:rPr>
      </w:pPr>
    </w:p>
    <w:p>
      <w:pPr>
        <w:spacing w:line="600" w:lineRule="exact"/>
        <w:jc w:val="center"/>
        <w:outlineLvl w:val="2"/>
        <w:rPr>
          <w:rFonts w:ascii="楷体" w:hAnsi="楷体" w:eastAsia="楷体"/>
          <w:b/>
          <w:bCs/>
          <w:sz w:val="32"/>
          <w:szCs w:val="32"/>
        </w:rPr>
      </w:pPr>
      <w:bookmarkStart w:id="2097" w:name="_Toc32161"/>
      <w:bookmarkStart w:id="2098" w:name="_Toc24750"/>
      <w:bookmarkStart w:id="2099" w:name="_Toc6312"/>
      <w:bookmarkStart w:id="2100" w:name="_Toc8068"/>
      <w:bookmarkStart w:id="2101" w:name="_Toc8698"/>
      <w:bookmarkStart w:id="2102" w:name="_Toc20173"/>
      <w:bookmarkStart w:id="2103" w:name="_Toc21906"/>
      <w:bookmarkStart w:id="2104" w:name="_Toc20948"/>
      <w:bookmarkStart w:id="2105" w:name="_Toc22814"/>
      <w:bookmarkStart w:id="2106" w:name="_Toc11160"/>
      <w:bookmarkStart w:id="2107" w:name="_Toc358"/>
      <w:bookmarkStart w:id="2108" w:name="_Toc26349"/>
      <w:bookmarkStart w:id="2109" w:name="_Toc18760"/>
      <w:bookmarkStart w:id="2110" w:name="_Toc29450"/>
      <w:bookmarkStart w:id="2111" w:name="_Toc21248"/>
      <w:bookmarkStart w:id="2112" w:name="_Toc18846"/>
      <w:bookmarkStart w:id="2113" w:name="_Toc15263"/>
      <w:bookmarkStart w:id="2114" w:name="_Toc31489"/>
      <w:bookmarkStart w:id="2115" w:name="_Toc4111"/>
      <w:bookmarkStart w:id="2116" w:name="_Toc14404"/>
      <w:bookmarkStart w:id="2117" w:name="_Toc11075"/>
      <w:bookmarkStart w:id="2118" w:name="_Toc6322"/>
      <w:bookmarkStart w:id="2119" w:name="_Toc12276"/>
      <w:bookmarkStart w:id="2120" w:name="_Toc17928"/>
      <w:bookmarkStart w:id="2121" w:name="_Toc16142"/>
      <w:bookmarkStart w:id="2122" w:name="_Toc30072"/>
      <w:bookmarkStart w:id="2123" w:name="_Toc8778"/>
      <w:bookmarkStart w:id="2124" w:name="_Toc1000"/>
      <w:bookmarkStart w:id="2125" w:name="_Toc12412"/>
      <w:bookmarkStart w:id="2126" w:name="_Toc1519"/>
      <w:bookmarkStart w:id="2127" w:name="_Toc18471"/>
      <w:bookmarkStart w:id="2128" w:name="_Toc3142"/>
      <w:bookmarkStart w:id="2129" w:name="_Toc16464"/>
      <w:bookmarkStart w:id="2130" w:name="_Toc3381"/>
      <w:bookmarkStart w:id="2131" w:name="_Toc14343"/>
      <w:bookmarkStart w:id="2132" w:name="_Toc16478"/>
      <w:bookmarkStart w:id="2133" w:name="_Toc31248"/>
      <w:r>
        <w:rPr>
          <w:rFonts w:hint="eastAsia" w:ascii="楷体" w:hAnsi="楷体" w:eastAsia="楷体"/>
          <w:b/>
          <w:bCs/>
          <w:sz w:val="32"/>
          <w:szCs w:val="32"/>
        </w:rPr>
        <w:t>第二节 提升城市建设管理现代化水平</w:t>
      </w:r>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p>
    <w:p>
      <w:pPr>
        <w:overflowPunct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高标准开展城市规划建设。</w:t>
      </w:r>
      <w:r>
        <w:rPr>
          <w:rFonts w:hint="eastAsia" w:ascii="仿宋_GB2312" w:hAnsi="仿宋_GB2312" w:eastAsia="仿宋_GB2312" w:cs="仿宋_GB2312"/>
          <w:sz w:val="32"/>
          <w:szCs w:val="32"/>
        </w:rPr>
        <w:t>制定和实施国土空间总体规划，以容量管控和建筑规模约束引导城市减量化内涵式发展，持续优布局、强功能、拓空间、提品质。提升城市设计与</w:t>
      </w:r>
      <w:r>
        <w:rPr>
          <w:rFonts w:hint="eastAsia" w:ascii="仿宋_GB2312" w:hAnsi="仿宋_GB2312" w:eastAsia="仿宋_GB2312" w:cs="仿宋_GB2312"/>
          <w:bCs/>
          <w:sz w:val="32"/>
          <w:szCs w:val="32"/>
        </w:rPr>
        <w:t>建筑设计</w:t>
      </w:r>
      <w:r>
        <w:rPr>
          <w:rFonts w:hint="eastAsia" w:ascii="仿宋_GB2312" w:hAnsi="仿宋_GB2312" w:eastAsia="仿宋_GB2312" w:cs="仿宋_GB2312"/>
          <w:sz w:val="32"/>
          <w:szCs w:val="32"/>
        </w:rPr>
        <w:t>水平，加强城市天际线、第五立面、城市色彩等规划管控。</w:t>
      </w:r>
      <w:r>
        <w:rPr>
          <w:rStyle w:val="42"/>
          <w:rFonts w:hint="default" w:ascii="仿宋_GB2312" w:hAnsi="仿宋_GB2312" w:eastAsia="仿宋_GB2312" w:cs="仿宋_GB2312"/>
          <w:sz w:val="32"/>
          <w:szCs w:val="32"/>
        </w:rPr>
        <w:t>营造小尺度、人性化、富有人情味的城市空间肌理，塑造丰富多变的街道景观。完善建设工程招投标制度和工程建设标准体系，实施“绿色建造”行动，推广装配式建筑和绿色建筑。开展</w:t>
      </w:r>
      <w:r>
        <w:rPr>
          <w:rFonts w:hint="eastAsia" w:ascii="仿宋_GB2312" w:hAnsi="仿宋_GB2312" w:eastAsia="仿宋_GB2312" w:cs="仿宋_GB2312"/>
          <w:sz w:val="32"/>
          <w:szCs w:val="32"/>
        </w:rPr>
        <w:t>新型城市基础设施建设试点，创新“新城建”建设模式，推进城市信息模型平台建设，推动智能建造与建筑工业化协同发展</w:t>
      </w:r>
      <w:r>
        <w:rPr>
          <w:rFonts w:hint="eastAsia" w:ascii="仿宋_GB2312" w:hAnsi="仿宋_GB2312" w:eastAsia="仿宋_GB2312" w:cs="仿宋_GB2312"/>
          <w:bCs/>
          <w:sz w:val="32"/>
          <w:szCs w:val="32"/>
        </w:rPr>
        <w:t>。强化政府投资项目全生命周期管理，</w:t>
      </w:r>
      <w:r>
        <w:rPr>
          <w:rStyle w:val="42"/>
          <w:rFonts w:hint="default" w:ascii="仿宋_GB2312" w:hAnsi="仿宋_GB2312" w:eastAsia="仿宋_GB2312" w:cs="仿宋_GB2312"/>
          <w:sz w:val="32"/>
          <w:szCs w:val="32"/>
        </w:rPr>
        <w:t>实行差异化投资标准，推进项目建设和运营一体化衔接，打造公共建筑“百年工程”。鼓励开展城中村和旧工业区有机更新，有序推进拆除重建类城市更新，加快老旧小区改造，深入开展土地整备利益统筹。</w:t>
      </w:r>
    </w:p>
    <w:p>
      <w:pPr>
        <w:overflowPunct w:val="0"/>
        <w:spacing w:line="600" w:lineRule="exact"/>
        <w:ind w:firstLine="643" w:firstLineChars="200"/>
        <w:rPr>
          <w:rStyle w:val="42"/>
          <w:rFonts w:hint="default" w:ascii="仿宋_GB2312" w:eastAsia="仿宋_GB2312"/>
          <w:sz w:val="32"/>
          <w:szCs w:val="32"/>
        </w:rPr>
      </w:pPr>
      <w:r>
        <w:rPr>
          <w:rFonts w:hint="eastAsia" w:ascii="仿宋_GB2312" w:eastAsia="仿宋_GB2312"/>
          <w:b/>
          <w:bCs/>
          <w:sz w:val="32"/>
          <w:szCs w:val="32"/>
        </w:rPr>
        <w:t>深化城市管理体制改革。</w:t>
      </w:r>
      <w:r>
        <w:rPr>
          <w:rStyle w:val="38"/>
          <w:rFonts w:hint="eastAsia" w:ascii="仿宋_GB2312" w:hAnsi="仿宋_GB2312" w:eastAsia="仿宋_GB2312" w:cs="仿宋_GB2312"/>
          <w:sz w:val="32"/>
          <w:szCs w:val="32"/>
        </w:rPr>
        <w:t>善于运用法治思维和法治方式解决城市治理顽症难题，健全完善城市治理法规体系，加强城市治理中的风险防控。</w:t>
      </w:r>
      <w:r>
        <w:rPr>
          <w:rStyle w:val="42"/>
          <w:rFonts w:hint="default" w:ascii="仿宋_GB2312" w:eastAsia="仿宋_GB2312"/>
          <w:sz w:val="32"/>
          <w:szCs w:val="32"/>
        </w:rPr>
        <w:t>优化城市管理职责分工，加强政策、标准、信息、业务衔接，构建权责明晰、服务为先、管理优化、执法规范、安全有序的城市管理体制。完善街道综合执法体制，整合综合执法资源，规范执法程序，推进快速处置、非现场执法等新型执法模式。严格占道施工管理，严控严管道路反复开挖。做好城中村、主次干道、枢纽站点等区域环境管理，加大对违法建筑、非法客运、无序设摊等专项整治力度，打造洁净有序的市容环境。</w:t>
      </w:r>
    </w:p>
    <w:p>
      <w:pPr>
        <w:overflowPunct w:val="0"/>
        <w:spacing w:line="600" w:lineRule="exact"/>
        <w:ind w:firstLine="640" w:firstLineChars="200"/>
        <w:rPr>
          <w:rStyle w:val="42"/>
          <w:rFonts w:hint="default" w:ascii="仿宋_GB2312" w:eastAsia="仿宋_GB2312"/>
          <w:sz w:val="32"/>
          <w:szCs w:val="32"/>
        </w:rPr>
      </w:pPr>
    </w:p>
    <w:bookmarkEnd w:id="2092"/>
    <w:bookmarkEnd w:id="2093"/>
    <w:bookmarkEnd w:id="2094"/>
    <w:bookmarkEnd w:id="2095"/>
    <w:bookmarkEnd w:id="2096"/>
    <w:p>
      <w:pPr>
        <w:overflowPunct w:val="0"/>
        <w:spacing w:line="600" w:lineRule="exact"/>
        <w:jc w:val="center"/>
        <w:outlineLvl w:val="2"/>
        <w:rPr>
          <w:rFonts w:ascii="楷体" w:hAnsi="楷体" w:eastAsia="楷体" w:cs="楷体"/>
          <w:b/>
          <w:bCs/>
          <w:sz w:val="32"/>
          <w:szCs w:val="32"/>
        </w:rPr>
      </w:pPr>
      <w:bookmarkStart w:id="2134" w:name="_Toc8980"/>
      <w:bookmarkStart w:id="2135" w:name="_Toc1947"/>
      <w:bookmarkStart w:id="2136" w:name="_Toc29128"/>
      <w:bookmarkStart w:id="2137" w:name="_Toc18511"/>
      <w:bookmarkStart w:id="2138" w:name="_Toc28991"/>
      <w:bookmarkStart w:id="2139" w:name="_Toc28548"/>
      <w:bookmarkStart w:id="2140" w:name="_Toc13683"/>
      <w:bookmarkStart w:id="2141" w:name="_Toc22898"/>
      <w:bookmarkStart w:id="2142" w:name="_Toc6696"/>
      <w:bookmarkStart w:id="2143" w:name="_Toc20399"/>
      <w:bookmarkStart w:id="2144" w:name="_Toc2635"/>
      <w:bookmarkStart w:id="2145" w:name="_Toc14327"/>
      <w:bookmarkStart w:id="2146" w:name="_Toc27453"/>
      <w:bookmarkStart w:id="2147" w:name="_Toc31877"/>
      <w:bookmarkStart w:id="2148" w:name="_Toc16730"/>
      <w:bookmarkStart w:id="2149" w:name="_Toc10584"/>
      <w:bookmarkStart w:id="2150" w:name="_Toc14567"/>
      <w:bookmarkStart w:id="2151" w:name="_Toc2519"/>
      <w:bookmarkStart w:id="2152" w:name="_Toc6883"/>
      <w:bookmarkStart w:id="2153" w:name="_Toc5131"/>
      <w:bookmarkStart w:id="2154" w:name="_Toc30454"/>
      <w:bookmarkStart w:id="2155" w:name="_Toc8833"/>
      <w:bookmarkStart w:id="2156" w:name="_Toc16006"/>
      <w:bookmarkStart w:id="2157" w:name="_Toc12205"/>
      <w:bookmarkStart w:id="2158" w:name="_Toc6130"/>
      <w:bookmarkStart w:id="2159" w:name="_Toc4073"/>
      <w:bookmarkStart w:id="2160" w:name="_Toc8649"/>
      <w:bookmarkStart w:id="2161" w:name="_Toc27334"/>
      <w:bookmarkStart w:id="2162" w:name="_Toc29695"/>
      <w:bookmarkStart w:id="2163" w:name="_Toc15742"/>
      <w:bookmarkStart w:id="2164" w:name="_Toc11965"/>
      <w:bookmarkStart w:id="2165" w:name="_Toc10023"/>
      <w:bookmarkStart w:id="2166" w:name="_Toc31984"/>
      <w:bookmarkStart w:id="2167" w:name="_Toc20687"/>
      <w:bookmarkStart w:id="2168" w:name="_Toc3897"/>
      <w:bookmarkStart w:id="2169" w:name="_Toc32214"/>
      <w:bookmarkStart w:id="2170" w:name="_Toc19013"/>
      <w:bookmarkStart w:id="2171" w:name="_Toc5761"/>
      <w:bookmarkStart w:id="2172" w:name="_Toc9045"/>
      <w:bookmarkStart w:id="2173" w:name="_Toc20027"/>
      <w:bookmarkStart w:id="2174" w:name="_Toc11479"/>
      <w:bookmarkStart w:id="2175" w:name="_Toc4023"/>
      <w:bookmarkStart w:id="2176" w:name="_Toc20985"/>
      <w:bookmarkStart w:id="2177" w:name="_Toc22650"/>
      <w:bookmarkStart w:id="2178" w:name="_Toc31205"/>
      <w:bookmarkStart w:id="2179" w:name="_Toc27298"/>
      <w:bookmarkStart w:id="2180" w:name="_Toc18880"/>
      <w:bookmarkStart w:id="2181" w:name="_Toc19321"/>
      <w:bookmarkStart w:id="2182" w:name="_Toc18262"/>
      <w:bookmarkStart w:id="2183" w:name="_Toc26289"/>
      <w:bookmarkStart w:id="2184" w:name="_Toc8259"/>
      <w:bookmarkStart w:id="2185" w:name="_Toc1157"/>
      <w:bookmarkStart w:id="2186" w:name="_Toc17059"/>
      <w:bookmarkStart w:id="2187" w:name="_Toc20372"/>
      <w:bookmarkStart w:id="2188" w:name="_Toc25780"/>
      <w:bookmarkStart w:id="2189" w:name="_Toc20375"/>
      <w:r>
        <w:rPr>
          <w:rFonts w:hint="eastAsia" w:ascii="楷体" w:hAnsi="楷体" w:eastAsia="楷体" w:cs="楷体"/>
          <w:b/>
          <w:bCs/>
          <w:sz w:val="32"/>
          <w:szCs w:val="32"/>
        </w:rPr>
        <w:t>第三节 打造国际性综合交通枢纽</w:t>
      </w:r>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p>
    <w:p>
      <w:pPr>
        <w:overflowPunct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打造高品质创新型国际航空枢纽。</w:t>
      </w:r>
      <w:r>
        <w:rPr>
          <w:rFonts w:ascii="仿宋_GB2312" w:hAnsi="仿宋_GB2312" w:eastAsia="仿宋_GB2312" w:cs="仿宋_GB2312"/>
          <w:sz w:val="32"/>
          <w:szCs w:val="32"/>
        </w:rPr>
        <w:t>加快提升宝安机场集疏运能力，</w:t>
      </w:r>
      <w:r>
        <w:rPr>
          <w:rFonts w:hint="eastAsia" w:ascii="仿宋_GB2312" w:hAnsi="仿宋_GB2312" w:eastAsia="仿宋_GB2312" w:cs="仿宋_GB2312"/>
          <w:sz w:val="32"/>
          <w:szCs w:val="32"/>
        </w:rPr>
        <w:t>加强与</w:t>
      </w:r>
      <w:r>
        <w:rPr>
          <w:rFonts w:ascii="仿宋_GB2312" w:hAnsi="仿宋_GB2312" w:eastAsia="仿宋_GB2312" w:cs="仿宋_GB2312"/>
          <w:sz w:val="32"/>
          <w:szCs w:val="32"/>
        </w:rPr>
        <w:t>惠州机场</w:t>
      </w:r>
      <w:r>
        <w:rPr>
          <w:rFonts w:hint="eastAsia" w:ascii="仿宋_GB2312" w:hAnsi="仿宋_GB2312" w:eastAsia="仿宋_GB2312" w:cs="仿宋_GB2312"/>
          <w:sz w:val="32"/>
          <w:szCs w:val="32"/>
        </w:rPr>
        <w:t>合作，迁建南头直升机场，规划建设深汕通用机场，打造“</w:t>
      </w:r>
      <w:r>
        <w:rPr>
          <w:rFonts w:ascii="仿宋_GB2312" w:hAnsi="仿宋_GB2312" w:eastAsia="仿宋_GB2312" w:cs="仿宋_GB2312"/>
          <w:sz w:val="32"/>
          <w:szCs w:val="32"/>
        </w:rPr>
        <w:t>2+2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机场规划布局体系。</w:t>
      </w:r>
      <w:r>
        <w:rPr>
          <w:rFonts w:hint="eastAsia" w:ascii="仿宋_GB2312" w:hAnsi="仿宋_GB2312" w:eastAsia="仿宋_GB2312" w:cs="仿宋_GB2312"/>
          <w:sz w:val="32"/>
          <w:szCs w:val="32"/>
        </w:rPr>
        <w:t>加强国际航线、航班时刻和国际航权配置，打造面向亚太、连接欧美澳、衔接“一带一路”的航线网络。推动空域管理体制机制改革，推进大湾区机场群层面信息共享和协同管控，探索与大湾区其他城市共建大湾区联合管制中心。培育具备较强国际竞争力的基地航空公司。开展旅客全流程自助服务、行李全过程跟踪等数字化应用，打造体验最佳的国际航空枢纽。构建机场多式联运体系，发展冷链、贵重物品等更高附加值的物流业态，建设具有较强国际竞争力的快件集散中心。推动直升机跨境飞行、无人机综合运用等通用航空发展，加快建设临空经济区和通用航空产业综合示范区。到2025年，机场旅客吞吐量超过7000</w:t>
      </w:r>
      <w:r>
        <w:rPr>
          <w:rFonts w:ascii="仿宋_GB2312" w:hAnsi="仿宋_GB2312" w:eastAsia="仿宋_GB2312" w:cs="仿宋_GB2312"/>
          <w:sz w:val="32"/>
          <w:szCs w:val="32"/>
        </w:rPr>
        <w:t>万人次</w:t>
      </w:r>
      <w:r>
        <w:rPr>
          <w:rFonts w:hint="eastAsia" w:ascii="仿宋_GB2312" w:hAnsi="仿宋_GB2312" w:eastAsia="仿宋_GB2312" w:cs="仿宋_GB2312"/>
          <w:sz w:val="32"/>
          <w:szCs w:val="32"/>
        </w:rPr>
        <w:t>，货邮吞吐量达</w:t>
      </w:r>
      <w:r>
        <w:rPr>
          <w:rFonts w:ascii="仿宋_GB2312" w:hAnsi="仿宋_GB2312" w:eastAsia="仿宋_GB2312" w:cs="仿宋_GB2312"/>
          <w:sz w:val="32"/>
          <w:szCs w:val="32"/>
        </w:rPr>
        <w:t>180万吨。</w:t>
      </w:r>
    </w:p>
    <w:p>
      <w:pPr>
        <w:pStyle w:val="40"/>
        <w:overflowPunct w:val="0"/>
        <w:spacing w:line="600" w:lineRule="exact"/>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打造全球贸易枢纽港。</w:t>
      </w:r>
      <w:r>
        <w:rPr>
          <w:rFonts w:hint="eastAsia" w:ascii="仿宋_GB2312" w:hAnsi="仿宋_GB2312" w:eastAsia="仿宋_GB2312" w:cs="仿宋_GB2312"/>
          <w:sz w:val="32"/>
          <w:szCs w:val="32"/>
        </w:rPr>
        <w:t>巩固提升世界级集装箱枢纽港地位，加快超大型集装箱码头和深水航道建设，拓展航线布局，发展国际中转和集拼业务，推进深港两地引航互认。构建以深圳港为核心的粤港澳大湾区组合港体系，大力发展海铁联运、水水中转业务，推动组合港间通关一体化工作。构建集装箱近距离内陆港体系，开展平湖南内陆港建设试点和黎光内陆港规划研究，加快平盐铁路、平南铁路改造。拓展航运金融、海事保险、航运法务等高附加值航运服务，打造港口经济带。深化国际船舶登记制度改革，开拓保税燃料油供应市场，推动建成亚洲东部LNG加注中心。到2025年，集装箱吞吐量达到3300万标准箱。</w:t>
      </w:r>
    </w:p>
    <w:p>
      <w:pPr>
        <w:pStyle w:val="40"/>
        <w:overflowPunct w:val="0"/>
        <w:spacing w:line="600" w:lineRule="exact"/>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前瞻规划建设对外战略通道。</w:t>
      </w:r>
      <w:r>
        <w:rPr>
          <w:rFonts w:hint="eastAsia" w:ascii="仿宋_GB2312" w:hAnsi="仿宋_GB2312" w:eastAsia="仿宋_GB2312" w:cs="仿宋_GB2312"/>
          <w:sz w:val="32"/>
          <w:szCs w:val="32"/>
        </w:rPr>
        <w:t>优化通道结构，拓展通道功能，完善“南北终到、东西贯通、互联互通”综合运输网络布局，加快建设多向辐射的陆路运输大通道。向西构建功能清晰、结构合理的多元跨江通道体系，加快深中通道建设，开展伶仃洋通道建设研究论证，规划深圳至南宁高铁，打通深圳面向大西南的战略通道。向北加密与粤北地区联系，加快赣深高铁建设，形成联系长江中游城市群的新通道。向东加强粤东及沿海地区连通，加快推进深汕第二高速、深圳至深汕合作区铁路建设，强化深圳与长三角之间的联系。推进机荷等高速公路立体复合改扩建及自由流收费体系建设。</w:t>
      </w:r>
    </w:p>
    <w:p>
      <w:pPr>
        <w:pStyle w:val="40"/>
        <w:overflowPunct w:val="0"/>
        <w:spacing w:line="600" w:lineRule="exact"/>
        <w:ind w:firstLine="643"/>
        <w:rPr>
          <w:rFonts w:ascii="仿宋_GB2312" w:hAnsi="仿宋_GB2312" w:eastAsia="仿宋_GB2312" w:cs="仿宋_GB2312"/>
          <w:bCs/>
          <w:sz w:val="32"/>
          <w:szCs w:val="32"/>
        </w:rPr>
      </w:pPr>
      <w:r>
        <w:rPr>
          <w:rFonts w:hint="eastAsia" w:ascii="仿宋_GB2312" w:hAnsi="仿宋_GB2312" w:eastAsia="仿宋_GB2312" w:cs="仿宋_GB2312"/>
          <w:b/>
          <w:sz w:val="32"/>
          <w:szCs w:val="32"/>
        </w:rPr>
        <w:t>建设高密度网络化的轨道交通体系。</w:t>
      </w:r>
      <w:r>
        <w:rPr>
          <w:rFonts w:hint="eastAsia" w:ascii="仿宋_GB2312" w:hAnsi="仿宋_GB2312" w:eastAsia="仿宋_GB2312" w:cs="仿宋_GB2312"/>
          <w:sz w:val="32"/>
          <w:szCs w:val="32"/>
        </w:rPr>
        <w:t>推进干线铁路、城际铁路、市域（郊）铁路、城市轨道交通融合，构建快慢结合、多层次的轨道交通网络，打造轨道交通为骨干的综合交通体系。协同周边城市推进轨道一体化发展，有序推进城市轨道交通规划建设。深化轨道交通投融资体制改革，积极引入社会资本参与。创新“枢纽+社区+产业”融合发展模式，建设一批开放式、立体化综合客运枢纽。</w:t>
      </w:r>
    </w:p>
    <w:p>
      <w:pPr>
        <w:pStyle w:val="40"/>
        <w:overflowPunct w:val="0"/>
        <w:spacing w:after="156" w:afterLines="50" w:line="600" w:lineRule="exact"/>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提高城市交通综合服务水平。</w:t>
      </w:r>
      <w:r>
        <w:rPr>
          <w:rFonts w:hint="eastAsia" w:ascii="仿宋_GB2312" w:hAnsi="仿宋_GB2312" w:eastAsia="仿宋_GB2312" w:cs="仿宋_GB2312"/>
          <w:bCs/>
          <w:sz w:val="32"/>
          <w:szCs w:val="32"/>
        </w:rPr>
        <w:t>实施公共交通优先发展战略，加强</w:t>
      </w:r>
      <w:r>
        <w:rPr>
          <w:rFonts w:hint="eastAsia" w:ascii="仿宋_GB2312" w:hAnsi="仿宋_GB2312" w:eastAsia="仿宋_GB2312" w:cs="仿宋_GB2312"/>
          <w:sz w:val="32"/>
          <w:szCs w:val="32"/>
        </w:rPr>
        <w:t>主动性交通需求调控，</w:t>
      </w:r>
      <w:r>
        <w:rPr>
          <w:rFonts w:hint="eastAsia" w:ascii="仿宋_GB2312" w:hAnsi="仿宋_GB2312" w:eastAsia="仿宋_GB2312" w:cs="仿宋_GB2312"/>
          <w:bCs/>
          <w:sz w:val="32"/>
          <w:szCs w:val="32"/>
        </w:rPr>
        <w:t>完善</w:t>
      </w:r>
      <w:r>
        <w:rPr>
          <w:rFonts w:hint="eastAsia" w:ascii="仿宋_GB2312" w:hAnsi="仿宋_GB2312" w:eastAsia="仿宋_GB2312" w:cs="仿宋_GB2312"/>
          <w:sz w:val="32"/>
          <w:szCs w:val="32"/>
        </w:rPr>
        <w:t>小汽车增量调控政策，</w:t>
      </w:r>
      <w:r>
        <w:rPr>
          <w:rFonts w:hint="eastAsia" w:ascii="仿宋_GB2312" w:hAnsi="仿宋_GB2312" w:eastAsia="仿宋_GB2312" w:cs="仿宋_GB2312"/>
          <w:bCs/>
          <w:sz w:val="32"/>
          <w:szCs w:val="32"/>
        </w:rPr>
        <w:t>推动由持续加大交通供给向提高交通运行效率转变。</w:t>
      </w:r>
      <w:r>
        <w:rPr>
          <w:rFonts w:hint="eastAsia" w:ascii="仿宋_GB2312" w:hAnsi="仿宋_GB2312" w:eastAsia="仿宋_GB2312" w:cs="仿宋_GB2312"/>
          <w:sz w:val="32"/>
          <w:szCs w:val="32"/>
        </w:rPr>
        <w:t>开展学校、医院、机场等重点拥堵片区综合整治，完善交通拥堵治理快速反应机制。加强路内停车管理，推动停车位错时共享，创新立体停车场建设模式。开展城市关键道路智能化改造，推动交通设施及运载工具智能化升级，打造国内领先的综合性智能交通创新示范基地。开通或加密大湾区城市水上线路，构建方便快捷的水上客运网络。推进轨道-公交-慢行三网融合发展，提升多网换乘“无感化”水平。推进公交分类管理改革，优化路侧公交专</w:t>
      </w:r>
      <w:r>
        <w:rPr>
          <w:rFonts w:hint="eastAsia" w:ascii="仿宋_GB2312" w:hAnsi="仿宋_GB2312" w:eastAsia="仿宋_GB2312" w:cs="仿宋_GB2312"/>
          <w:color w:val="000000"/>
          <w:sz w:val="32"/>
          <w:szCs w:val="32"/>
        </w:rPr>
        <w:t>用道，提高公交运行速度和服务水平。</w:t>
      </w:r>
      <w:r>
        <w:rPr>
          <w:rFonts w:hint="eastAsia" w:ascii="仿宋_GB2312" w:hAnsi="仿宋_GB2312" w:eastAsia="仿宋_GB2312" w:cs="仿宋_GB2312"/>
          <w:sz w:val="32"/>
          <w:szCs w:val="32"/>
        </w:rPr>
        <w:t>优化</w:t>
      </w:r>
      <w:r>
        <w:rPr>
          <w:rFonts w:hint="eastAsia" w:ascii="仿宋_GB2312" w:hAnsi="仿宋_GB2312" w:eastAsia="仿宋_GB2312" w:cs="仿宋_GB2312"/>
          <w:color w:val="000000"/>
          <w:sz w:val="32"/>
          <w:szCs w:val="32"/>
        </w:rPr>
        <w:t>慢行片区步行设施、自行车网络和风雨连廊系统，加强共享单车管理，提升慢行出行品质。</w:t>
      </w:r>
      <w:r>
        <w:rPr>
          <w:rFonts w:hint="eastAsia" w:ascii="仿宋_GB2312" w:hAnsi="仿宋_GB2312" w:eastAsia="仿宋_GB2312" w:cs="仿宋_GB2312"/>
          <w:sz w:val="32"/>
          <w:szCs w:val="32"/>
        </w:rPr>
        <w:t>到2025年，绿色交通出行分担率达81%。</w:t>
      </w:r>
    </w:p>
    <w:tbl>
      <w:tblPr>
        <w:tblStyle w:val="28"/>
        <w:tblW w:w="8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018" w:type="dxa"/>
            <w:shd w:val="clear" w:color="auto" w:fill="auto"/>
            <w:vAlign w:val="center"/>
          </w:tcPr>
          <w:p>
            <w:pPr>
              <w:pStyle w:val="43"/>
              <w:numPr>
                <w:ilvl w:val="255"/>
                <w:numId w:val="0"/>
              </w:numPr>
              <w:overflowPunct w:val="0"/>
              <w:adjustRightInd w:val="0"/>
              <w:snapToGrid w:val="0"/>
              <w:spacing w:line="400" w:lineRule="exact"/>
              <w:jc w:val="center"/>
              <w:rPr>
                <w:rFonts w:ascii="宋体" w:hAnsi="宋体" w:cs="宋体"/>
                <w:b/>
                <w:color w:val="000000"/>
                <w:sz w:val="24"/>
                <w:lang w:val="zh-CN"/>
              </w:rPr>
            </w:pPr>
            <w:r>
              <w:rPr>
                <w:rFonts w:hint="eastAsia" w:ascii="宋体" w:hAnsi="宋体" w:cs="宋体"/>
                <w:b/>
                <w:color w:val="000000"/>
                <w:sz w:val="24"/>
                <w:lang w:val="zh-CN"/>
              </w:rPr>
              <w:t>专栏</w:t>
            </w:r>
            <w:r>
              <w:rPr>
                <w:rFonts w:hint="eastAsia" w:ascii="宋体" w:hAnsi="宋体" w:cs="宋体"/>
                <w:b/>
                <w:color w:val="000000"/>
                <w:sz w:val="24"/>
              </w:rPr>
              <w:t>5</w:t>
            </w:r>
            <w:r>
              <w:rPr>
                <w:rFonts w:hint="eastAsia" w:ascii="宋体" w:hAnsi="宋体" w:cs="宋体"/>
                <w:b/>
                <w:color w:val="000000"/>
                <w:sz w:val="24"/>
                <w:lang w:val="zh-CN"/>
              </w:rPr>
              <w:t>：综合交通重大工程</w:t>
            </w:r>
          </w:p>
          <w:p>
            <w:pPr>
              <w:pStyle w:val="43"/>
              <w:numPr>
                <w:ilvl w:val="0"/>
                <w:numId w:val="3"/>
              </w:numPr>
              <w:overflowPunct w:val="0"/>
              <w:adjustRightInd w:val="0"/>
              <w:snapToGrid w:val="0"/>
              <w:spacing w:line="400" w:lineRule="exact"/>
              <w:ind w:firstLineChars="0"/>
              <w:rPr>
                <w:rFonts w:ascii="宋体" w:hAnsi="宋体" w:cs="宋体"/>
                <w:bCs/>
                <w:color w:val="000000"/>
                <w:sz w:val="24"/>
              </w:rPr>
            </w:pPr>
            <w:r>
              <w:rPr>
                <w:rFonts w:hint="eastAsia" w:ascii="宋体" w:hAnsi="宋体" w:cs="宋体"/>
                <w:b/>
                <w:color w:val="000000"/>
                <w:sz w:val="24"/>
                <w:lang w:val="zh-CN"/>
              </w:rPr>
              <w:t>空港</w:t>
            </w:r>
            <w:r>
              <w:rPr>
                <w:rFonts w:hint="eastAsia" w:ascii="宋体" w:hAnsi="宋体" w:cs="宋体"/>
                <w:bCs/>
                <w:color w:val="000000"/>
                <w:sz w:val="24"/>
                <w:lang w:val="zh-CN"/>
              </w:rPr>
              <w:t>：</w:t>
            </w:r>
            <w:r>
              <w:rPr>
                <w:rFonts w:hint="eastAsia" w:ascii="宋体" w:hAnsi="宋体" w:cs="宋体"/>
                <w:bCs/>
                <w:color w:val="000000"/>
                <w:sz w:val="24"/>
              </w:rPr>
              <w:t>完成深圳机场三跑道、卫星厅、东航站区、T2航站区及其配套设施项目以及南头直升机场迁建项目建设，启动深圳机场北货运区及其配套站坪工程、深汕通用机场规划建设。</w:t>
            </w:r>
          </w:p>
          <w:p>
            <w:pPr>
              <w:pStyle w:val="43"/>
              <w:numPr>
                <w:ilvl w:val="0"/>
                <w:numId w:val="3"/>
              </w:numPr>
              <w:overflowPunct w:val="0"/>
              <w:adjustRightInd w:val="0"/>
              <w:snapToGrid w:val="0"/>
              <w:spacing w:line="400" w:lineRule="exact"/>
              <w:ind w:firstLineChars="0"/>
              <w:rPr>
                <w:rFonts w:ascii="宋体" w:hAnsi="宋体" w:cs="宋体"/>
                <w:bCs/>
                <w:sz w:val="24"/>
              </w:rPr>
            </w:pPr>
            <w:r>
              <w:rPr>
                <w:rFonts w:hint="eastAsia" w:ascii="宋体" w:hAnsi="宋体" w:cs="宋体"/>
                <w:b/>
                <w:color w:val="000000"/>
                <w:sz w:val="24"/>
                <w:lang w:val="zh-CN"/>
              </w:rPr>
              <w:t>海港</w:t>
            </w:r>
            <w:r>
              <w:rPr>
                <w:rFonts w:hint="eastAsia" w:ascii="宋体" w:hAnsi="宋体" w:cs="宋体"/>
                <w:bCs/>
                <w:color w:val="000000"/>
                <w:sz w:val="24"/>
                <w:lang w:val="zh-CN"/>
              </w:rPr>
              <w:t>：加快</w:t>
            </w:r>
            <w:r>
              <w:rPr>
                <w:rFonts w:hint="eastAsia" w:ascii="宋体" w:hAnsi="宋体" w:cs="宋体"/>
                <w:bCs/>
                <w:sz w:val="24"/>
              </w:rPr>
              <w:t>盐田港区东作业区集装箱码头工程、大铲湾港区集装箱码头二期和三期工程、西部港区出海航道二期工程、小漠港区工程建设。</w:t>
            </w:r>
          </w:p>
          <w:p>
            <w:pPr>
              <w:pStyle w:val="43"/>
              <w:numPr>
                <w:ilvl w:val="0"/>
                <w:numId w:val="3"/>
              </w:numPr>
              <w:overflowPunct w:val="0"/>
              <w:adjustRightInd w:val="0"/>
              <w:snapToGrid w:val="0"/>
              <w:spacing w:line="400" w:lineRule="exact"/>
              <w:ind w:firstLineChars="0"/>
              <w:rPr>
                <w:rFonts w:ascii="宋体" w:hAnsi="宋体" w:cs="宋体"/>
                <w:bCs/>
                <w:color w:val="000000"/>
                <w:sz w:val="24"/>
              </w:rPr>
            </w:pPr>
            <w:r>
              <w:rPr>
                <w:rFonts w:hint="eastAsia" w:ascii="宋体" w:hAnsi="宋体" w:cs="宋体"/>
                <w:b/>
                <w:color w:val="000000"/>
                <w:sz w:val="24"/>
              </w:rPr>
              <w:t>国家</w:t>
            </w:r>
            <w:r>
              <w:rPr>
                <w:rFonts w:hint="eastAsia" w:ascii="宋体" w:hAnsi="宋体" w:cs="宋体"/>
                <w:b/>
                <w:color w:val="000000"/>
                <w:sz w:val="24"/>
                <w:lang w:val="zh-CN"/>
              </w:rPr>
              <w:t>铁路</w:t>
            </w:r>
            <w:r>
              <w:rPr>
                <w:rFonts w:hint="eastAsia" w:ascii="宋体" w:hAnsi="宋体" w:cs="宋体"/>
                <w:bCs/>
                <w:color w:val="000000"/>
                <w:sz w:val="24"/>
                <w:lang w:val="zh-CN"/>
              </w:rPr>
              <w:t>：</w:t>
            </w:r>
            <w:r>
              <w:rPr>
                <w:rFonts w:hint="eastAsia" w:ascii="宋体" w:hAnsi="宋体" w:cs="宋体"/>
                <w:bCs/>
                <w:color w:val="000000"/>
                <w:sz w:val="24"/>
              </w:rPr>
              <w:t>加快赣深高铁、深茂铁路深圳至江门段建设，推动深圳至深汕合作区铁路开工建设，规划研究深圳至南宁高铁、广深第二高铁、深圳至河源高铁</w:t>
            </w:r>
            <w:r>
              <w:rPr>
                <w:rFonts w:hint="eastAsia" w:ascii="宋体" w:hAnsi="宋体" w:cs="宋体"/>
                <w:bCs/>
                <w:color w:val="000000"/>
                <w:sz w:val="24"/>
                <w:lang w:val="zh-CN"/>
              </w:rPr>
              <w:t>。</w:t>
            </w:r>
          </w:p>
          <w:p>
            <w:pPr>
              <w:pStyle w:val="43"/>
              <w:numPr>
                <w:ilvl w:val="0"/>
                <w:numId w:val="3"/>
              </w:numPr>
              <w:overflowPunct w:val="0"/>
              <w:adjustRightInd w:val="0"/>
              <w:snapToGrid w:val="0"/>
              <w:spacing w:line="400" w:lineRule="exact"/>
              <w:ind w:firstLineChars="0"/>
              <w:rPr>
                <w:rFonts w:ascii="宋体" w:hAnsi="宋体" w:cs="宋体"/>
                <w:bCs/>
                <w:color w:val="000000"/>
                <w:sz w:val="24"/>
              </w:rPr>
            </w:pPr>
            <w:r>
              <w:rPr>
                <w:rFonts w:hint="eastAsia" w:ascii="宋体" w:hAnsi="宋体" w:cs="宋体"/>
                <w:b/>
                <w:color w:val="000000"/>
                <w:sz w:val="24"/>
              </w:rPr>
              <w:t>城际轨道</w:t>
            </w:r>
            <w:r>
              <w:rPr>
                <w:rFonts w:hint="eastAsia" w:ascii="宋体" w:hAnsi="宋体" w:cs="宋体"/>
                <w:b/>
                <w:color w:val="000000"/>
                <w:sz w:val="24"/>
                <w:lang w:val="zh-CN"/>
              </w:rPr>
              <w:t>：</w:t>
            </w:r>
            <w:r>
              <w:rPr>
                <w:rFonts w:hint="eastAsia" w:ascii="宋体" w:hAnsi="宋体" w:cs="宋体"/>
                <w:bCs/>
                <w:color w:val="000000"/>
                <w:sz w:val="24"/>
                <w:lang w:val="zh-CN"/>
              </w:rPr>
              <w:t>加快深圳机场至大亚湾城际、深惠城际（含大鹏支线）、穗莞深城际南延线建设，推进常平至龙华城际、塘厦至龙岗城际前期工作，规划研究深莞增城际、深珠城际（伶仃洋通道）。</w:t>
            </w:r>
          </w:p>
          <w:p>
            <w:pPr>
              <w:pStyle w:val="43"/>
              <w:numPr>
                <w:ilvl w:val="0"/>
                <w:numId w:val="3"/>
              </w:numPr>
              <w:overflowPunct w:val="0"/>
              <w:adjustRightInd w:val="0"/>
              <w:snapToGrid w:val="0"/>
              <w:spacing w:line="400" w:lineRule="exact"/>
              <w:ind w:firstLineChars="0"/>
              <w:rPr>
                <w:rFonts w:ascii="宋体" w:hAnsi="宋体" w:cs="宋体"/>
                <w:bCs/>
                <w:color w:val="000000"/>
                <w:sz w:val="24"/>
              </w:rPr>
            </w:pPr>
            <w:r>
              <w:rPr>
                <w:rFonts w:hint="eastAsia" w:ascii="宋体" w:hAnsi="宋体" w:cs="宋体"/>
                <w:b/>
                <w:color w:val="000000"/>
                <w:sz w:val="24"/>
              </w:rPr>
              <w:t>城市轨道：</w:t>
            </w:r>
            <w:r>
              <w:rPr>
                <w:rFonts w:hint="eastAsia" w:ascii="宋体" w:hAnsi="宋体" w:cs="宋体"/>
                <w:bCs/>
                <w:color w:val="000000"/>
                <w:sz w:val="24"/>
              </w:rPr>
              <w:t>建成城市轨道交通四期及四期调整工程，推动五期工程建设。</w:t>
            </w:r>
          </w:p>
          <w:p>
            <w:pPr>
              <w:pStyle w:val="43"/>
              <w:numPr>
                <w:ilvl w:val="0"/>
                <w:numId w:val="3"/>
              </w:numPr>
              <w:overflowPunct w:val="0"/>
              <w:adjustRightInd w:val="0"/>
              <w:snapToGrid w:val="0"/>
              <w:spacing w:line="400" w:lineRule="exact"/>
              <w:ind w:firstLineChars="0"/>
              <w:rPr>
                <w:rFonts w:ascii="宋体" w:hAnsi="宋体" w:cs="宋体"/>
                <w:bCs/>
                <w:color w:val="000000"/>
                <w:sz w:val="24"/>
              </w:rPr>
            </w:pPr>
            <w:r>
              <w:rPr>
                <w:rFonts w:hint="eastAsia" w:ascii="宋体" w:hAnsi="宋体" w:cs="宋体"/>
                <w:b/>
                <w:color w:val="000000"/>
                <w:sz w:val="24"/>
              </w:rPr>
              <w:t>交通枢纽：</w:t>
            </w:r>
            <w:r>
              <w:rPr>
                <w:rFonts w:hint="eastAsia" w:ascii="宋体" w:hAnsi="宋体" w:cs="宋体"/>
                <w:bCs/>
                <w:sz w:val="24"/>
                <w:lang w:val="zh-CN"/>
              </w:rPr>
              <w:t>加快推进西丽枢纽、机场东枢纽、光明城枢纽等站城一体化开发，推动坪山综合交通枢纽建设；加快推进前海、岗厦北、黄木岗、大运、平湖、鹭湖、白坭坑、五和等综合交通枢纽规划建设。</w:t>
            </w:r>
          </w:p>
          <w:p>
            <w:pPr>
              <w:pStyle w:val="43"/>
              <w:numPr>
                <w:ilvl w:val="0"/>
                <w:numId w:val="3"/>
              </w:numPr>
              <w:overflowPunct w:val="0"/>
              <w:adjustRightInd w:val="0"/>
              <w:snapToGrid w:val="0"/>
              <w:spacing w:line="400" w:lineRule="exact"/>
              <w:ind w:firstLineChars="0"/>
              <w:rPr>
                <w:rFonts w:ascii="宋体" w:hAnsi="宋体" w:cs="宋体"/>
                <w:bCs/>
                <w:color w:val="000000"/>
                <w:sz w:val="24"/>
              </w:rPr>
            </w:pPr>
            <w:r>
              <w:rPr>
                <w:rFonts w:hint="eastAsia" w:ascii="宋体" w:hAnsi="宋体" w:cs="宋体"/>
                <w:b/>
                <w:color w:val="000000"/>
                <w:sz w:val="24"/>
              </w:rPr>
              <w:t>公路通道：</w:t>
            </w:r>
            <w:r>
              <w:rPr>
                <w:rFonts w:hint="eastAsia" w:ascii="宋体" w:hAnsi="宋体" w:cs="宋体"/>
                <w:bCs/>
                <w:color w:val="000000"/>
                <w:sz w:val="24"/>
              </w:rPr>
              <w:t>推动深中通道、沿江高速二期、机荷-惠盐高速改扩建、外环高速、深汕第二高速、东部过境高速公路及连接线、广深沿江高速公路前海段下沉改造、侨城东路北延、沙河东路北延、皇岗路快速化改造、妈湾跨海通道等项目建设。</w:t>
            </w:r>
          </w:p>
        </w:tc>
      </w:tr>
    </w:tbl>
    <w:p>
      <w:pPr>
        <w:spacing w:line="600" w:lineRule="exact"/>
      </w:pPr>
    </w:p>
    <w:p>
      <w:pPr>
        <w:spacing w:line="600" w:lineRule="exact"/>
        <w:jc w:val="center"/>
        <w:outlineLvl w:val="2"/>
        <w:rPr>
          <w:rFonts w:ascii="仿宋_GB2312" w:hAnsi="仿宋_GB2312" w:eastAsia="仿宋_GB2312" w:cs="仿宋_GB2312"/>
          <w:b/>
          <w:bCs/>
          <w:color w:val="000000" w:themeColor="text1"/>
          <w:sz w:val="32"/>
          <w:szCs w:val="32"/>
          <w14:textFill>
            <w14:solidFill>
              <w14:schemeClr w14:val="tx1"/>
            </w14:solidFill>
          </w14:textFill>
        </w:rPr>
      </w:pPr>
      <w:bookmarkStart w:id="2190" w:name="_Toc11512"/>
      <w:bookmarkStart w:id="2191" w:name="_Toc8906"/>
      <w:bookmarkStart w:id="2192" w:name="_Toc7061"/>
      <w:bookmarkStart w:id="2193" w:name="_Toc1079"/>
      <w:bookmarkStart w:id="2194" w:name="_Toc13625"/>
      <w:bookmarkStart w:id="2195" w:name="_Toc15402"/>
      <w:bookmarkStart w:id="2196" w:name="_Toc21511"/>
      <w:bookmarkStart w:id="2197" w:name="_Toc25145"/>
      <w:bookmarkStart w:id="2198" w:name="_Toc14308"/>
      <w:bookmarkStart w:id="2199" w:name="_Toc28531"/>
      <w:bookmarkStart w:id="2200" w:name="_Toc30029"/>
      <w:bookmarkStart w:id="2201" w:name="_Toc17929"/>
      <w:bookmarkStart w:id="2202" w:name="_Toc3231"/>
      <w:bookmarkStart w:id="2203" w:name="_Toc20800"/>
      <w:bookmarkStart w:id="2204" w:name="_Toc1260"/>
      <w:bookmarkStart w:id="2205" w:name="_Toc15054"/>
      <w:bookmarkStart w:id="2206" w:name="_Toc21809"/>
      <w:bookmarkStart w:id="2207" w:name="_Toc19206"/>
      <w:bookmarkStart w:id="2208" w:name="_Toc6065"/>
      <w:bookmarkStart w:id="2209" w:name="_Toc15840"/>
      <w:bookmarkStart w:id="2210" w:name="_Toc14509"/>
      <w:bookmarkStart w:id="2211" w:name="_Toc18209"/>
      <w:bookmarkStart w:id="2212" w:name="_Toc5824"/>
      <w:bookmarkStart w:id="2213" w:name="_Toc23301"/>
      <w:bookmarkStart w:id="2214" w:name="_Toc2561"/>
      <w:bookmarkStart w:id="2215" w:name="_Toc1224"/>
      <w:bookmarkStart w:id="2216" w:name="_Toc32356"/>
      <w:bookmarkStart w:id="2217" w:name="_Toc28971"/>
      <w:bookmarkStart w:id="2218" w:name="_Toc9837"/>
      <w:bookmarkStart w:id="2219" w:name="_Toc1341"/>
      <w:bookmarkStart w:id="2220" w:name="_Toc14395"/>
      <w:bookmarkStart w:id="2221" w:name="_Toc4047"/>
      <w:bookmarkStart w:id="2222" w:name="_Toc17310"/>
      <w:bookmarkStart w:id="2223" w:name="_Toc2173"/>
      <w:bookmarkStart w:id="2224" w:name="_Toc27622"/>
      <w:bookmarkStart w:id="2225" w:name="_Toc21720"/>
      <w:bookmarkStart w:id="2226" w:name="_Toc7821"/>
      <w:bookmarkStart w:id="2227" w:name="_Toc6034"/>
      <w:bookmarkStart w:id="2228" w:name="_Toc23986"/>
      <w:bookmarkStart w:id="2229" w:name="_Toc23739"/>
      <w:bookmarkStart w:id="2230" w:name="_Toc18095"/>
      <w:bookmarkStart w:id="2231" w:name="_Toc15048"/>
      <w:bookmarkStart w:id="2232" w:name="_Toc27287"/>
      <w:bookmarkStart w:id="2233" w:name="_Toc19010"/>
      <w:bookmarkStart w:id="2234" w:name="_Toc11613"/>
      <w:bookmarkStart w:id="2235" w:name="_Toc3215"/>
      <w:bookmarkStart w:id="2236" w:name="_Toc21301"/>
      <w:bookmarkStart w:id="2237" w:name="_Toc23429"/>
      <w:bookmarkStart w:id="2238" w:name="_Toc13066"/>
      <w:bookmarkStart w:id="2239" w:name="_Toc9250"/>
      <w:bookmarkStart w:id="2240" w:name="_Toc27524"/>
      <w:bookmarkStart w:id="2241" w:name="_Toc28504"/>
      <w:bookmarkStart w:id="2242" w:name="_Toc4795"/>
      <w:r>
        <w:rPr>
          <w:rFonts w:hint="eastAsia" w:ascii="楷体" w:hAnsi="楷体" w:eastAsia="楷体" w:cs="楷体"/>
          <w:b/>
          <w:bCs/>
          <w:color w:val="000000" w:themeColor="text1"/>
          <w:sz w:val="32"/>
          <w:szCs w:val="32"/>
          <w14:textFill>
            <w14:solidFill>
              <w14:schemeClr w14:val="tx1"/>
            </w14:solidFill>
          </w14:textFill>
        </w:rPr>
        <w:t>第四节 加快建设全球海洋中心城市</w:t>
      </w:r>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p>
    <w:p>
      <w:pPr>
        <w:numPr>
          <w:ilvl w:val="255"/>
          <w:numId w:val="0"/>
        </w:numPr>
        <w:shd w:val="clear" w:color="auto" w:fill="FFFFFF"/>
        <w:spacing w:line="600" w:lineRule="exact"/>
        <w:ind w:firstLine="643" w:firstLineChars="200"/>
        <w:rPr>
          <w:rFonts w:ascii="仿宋_GB2312" w:eastAsia="仿宋_GB2312"/>
          <w:bCs/>
          <w:sz w:val="32"/>
          <w:szCs w:val="32"/>
        </w:rPr>
      </w:pPr>
      <w:r>
        <w:rPr>
          <w:rFonts w:hint="eastAsia" w:ascii="仿宋_GB2312" w:eastAsia="仿宋_GB2312"/>
          <w:b/>
          <w:sz w:val="32"/>
          <w:szCs w:val="32"/>
        </w:rPr>
        <w:t>提升海洋经济发展能级。</w:t>
      </w:r>
      <w:r>
        <w:rPr>
          <w:rFonts w:hint="eastAsia" w:ascii="仿宋_GB2312" w:eastAsia="仿宋_GB2312"/>
          <w:bCs/>
          <w:sz w:val="32"/>
          <w:szCs w:val="32"/>
        </w:rPr>
        <w:t>创新发展海洋金融，筹建国际海洋开发银行。</w:t>
      </w:r>
      <w:r>
        <w:rPr>
          <w:rFonts w:hint="eastAsia" w:ascii="仿宋_GB2312" w:eastAsia="仿宋_GB2312"/>
          <w:bCs/>
          <w:sz w:val="32"/>
          <w:szCs w:val="32"/>
          <w:lang w:val="zh-CN"/>
        </w:rPr>
        <w:t>大力发展海洋生物医药、海洋电子信息等海洋新兴产业，促进融合型海洋经济高质量发展。促进海工装备产业智能化和高端化发展，建设智能海洋工程制造业创新中心。</w:t>
      </w:r>
      <w:r>
        <w:rPr>
          <w:rFonts w:hint="eastAsia" w:ascii="仿宋_GB2312" w:eastAsia="仿宋_GB2312"/>
          <w:bCs/>
          <w:sz w:val="32"/>
          <w:szCs w:val="32"/>
        </w:rPr>
        <w:t>服务国家南海开发战略，</w:t>
      </w:r>
      <w:r>
        <w:rPr>
          <w:rFonts w:hint="eastAsia" w:ascii="仿宋_GB2312" w:eastAsia="仿宋_GB2312"/>
          <w:bCs/>
          <w:sz w:val="32"/>
          <w:szCs w:val="32"/>
          <w:lang w:val="zh-CN"/>
        </w:rPr>
        <w:t>提升海洋资源开发利用水平，</w:t>
      </w:r>
      <w:r>
        <w:rPr>
          <w:rFonts w:hint="eastAsia" w:ascii="仿宋_GB2312" w:eastAsia="仿宋_GB2312"/>
          <w:bCs/>
          <w:sz w:val="32"/>
          <w:szCs w:val="32"/>
        </w:rPr>
        <w:t>推进南海油气资源开发综合保障基地建设。发展深海网箱养殖，建设国家远洋渔业基地、国际金枪鱼交易中心、全球海产品采购及冷链交易中心。高质量举办中国海洋经济博览会，打造“中国海洋第一展”。</w:t>
      </w:r>
    </w:p>
    <w:p>
      <w:pPr>
        <w:numPr>
          <w:ilvl w:val="255"/>
          <w:numId w:val="0"/>
        </w:numPr>
        <w:shd w:val="clear" w:color="auto" w:fill="FFFFFF"/>
        <w:spacing w:line="600" w:lineRule="exact"/>
        <w:ind w:firstLine="643" w:firstLineChars="200"/>
        <w:rPr>
          <w:rFonts w:ascii="仿宋_GB2312" w:eastAsia="仿宋_GB2312"/>
          <w:bCs/>
          <w:sz w:val="32"/>
          <w:szCs w:val="32"/>
        </w:rPr>
      </w:pPr>
      <w:r>
        <w:rPr>
          <w:rFonts w:hint="eastAsia" w:ascii="仿宋_GB2312" w:eastAsia="仿宋_GB2312"/>
          <w:b/>
          <w:sz w:val="32"/>
          <w:szCs w:val="32"/>
        </w:rPr>
        <w:t>增强海洋科技创新能力。</w:t>
      </w:r>
      <w:r>
        <w:rPr>
          <w:rFonts w:hint="eastAsia" w:ascii="仿宋_GB2312" w:eastAsia="仿宋_GB2312"/>
          <w:bCs/>
          <w:sz w:val="32"/>
          <w:szCs w:val="32"/>
          <w:lang w:val="zh-CN"/>
        </w:rPr>
        <w:t>高</w:t>
      </w:r>
      <w:r>
        <w:rPr>
          <w:rFonts w:hint="eastAsia" w:ascii="仿宋_GB2312" w:eastAsia="仿宋_GB2312"/>
          <w:bCs/>
          <w:sz w:val="32"/>
          <w:szCs w:val="32"/>
        </w:rPr>
        <w:t>标准规划建设国家深海科考中心</w:t>
      </w:r>
      <w:r>
        <w:rPr>
          <w:rFonts w:hint="eastAsia" w:ascii="仿宋_GB2312" w:eastAsia="仿宋_GB2312"/>
          <w:bCs/>
          <w:sz w:val="32"/>
          <w:szCs w:val="32"/>
          <w:lang w:val="zh-CN"/>
        </w:rPr>
        <w:t>，布局一批海洋领域基础研究、应用研究与成果转化等重大平台，建设海上试验场。制定海洋人才引进专项政策，建设全球海洋智库。</w:t>
      </w:r>
      <w:r>
        <w:rPr>
          <w:rFonts w:hint="eastAsia" w:ascii="仿宋_GB2312" w:eastAsia="仿宋_GB2312"/>
          <w:bCs/>
          <w:sz w:val="32"/>
          <w:szCs w:val="32"/>
        </w:rPr>
        <w:t>规划建设海城协调、产城融合的“盐田-大鹏-深汕”和</w:t>
      </w:r>
      <w:r>
        <w:rPr>
          <w:rFonts w:hint="eastAsia" w:ascii="仿宋_GB2312" w:hAnsi="仿宋_GB2312" w:eastAsia="仿宋_GB2312" w:cs="仿宋_GB2312"/>
          <w:sz w:val="32"/>
          <w:szCs w:val="32"/>
        </w:rPr>
        <w:t>“蛇口-前海-海洋新城-光明”</w:t>
      </w:r>
      <w:r>
        <w:rPr>
          <w:rFonts w:hint="eastAsia" w:ascii="仿宋_GB2312" w:eastAsia="仿宋_GB2312"/>
          <w:bCs/>
          <w:sz w:val="32"/>
          <w:szCs w:val="32"/>
        </w:rPr>
        <w:t>东西部海洋科技创新走廊，谋划建设海洋高新技术开发区。</w:t>
      </w:r>
    </w:p>
    <w:p>
      <w:pPr>
        <w:numPr>
          <w:ilvl w:val="255"/>
          <w:numId w:val="0"/>
        </w:numPr>
        <w:shd w:val="clear" w:color="auto" w:fill="FFFFFF"/>
        <w:spacing w:line="600" w:lineRule="exact"/>
        <w:ind w:firstLine="643" w:firstLineChars="200"/>
        <w:rPr>
          <w:rFonts w:ascii="仿宋_GB2312" w:eastAsia="仿宋_GB2312"/>
          <w:bCs/>
          <w:sz w:val="32"/>
          <w:szCs w:val="32"/>
        </w:rPr>
      </w:pPr>
      <w:r>
        <w:rPr>
          <w:rFonts w:hint="eastAsia" w:ascii="仿宋_GB2312" w:eastAsia="仿宋_GB2312"/>
          <w:b/>
          <w:sz w:val="32"/>
          <w:szCs w:val="32"/>
        </w:rPr>
        <w:t>建设高品质滨海亲水空间。</w:t>
      </w:r>
      <w:r>
        <w:rPr>
          <w:rFonts w:hint="eastAsia" w:ascii="仿宋_GB2312" w:eastAsia="仿宋_GB2312"/>
          <w:bCs/>
          <w:sz w:val="32"/>
          <w:szCs w:val="32"/>
        </w:rPr>
        <w:t>坚持陆海统筹、科学用海、亲海近海、城海互动，打造海城交融的西部创新活力湾区、中部都市亲海休闲活力区、东部山海生态度假区，构建世界级绿色活力海岸带。规范海域使用秩序，拓展亲水空间，贯通由公共岸线、滨海公园、文化设施等有机组成的滨海公共空间，构建优美连续的滨海慢行系统。推进蛇口渔港升级改造，建设深圳海洋博物馆、红树林博物馆等公共文化设施，打造海洋地标性建筑。</w:t>
      </w:r>
    </w:p>
    <w:p>
      <w:pPr>
        <w:spacing w:line="600" w:lineRule="exact"/>
        <w:jc w:val="center"/>
        <w:outlineLvl w:val="0"/>
        <w:rPr>
          <w:rFonts w:ascii="黑体" w:hAnsi="黑体" w:eastAsia="黑体" w:cs="黑体"/>
          <w:sz w:val="40"/>
          <w:szCs w:val="40"/>
        </w:rPr>
        <w:sectPr>
          <w:pgSz w:w="11906" w:h="16838"/>
          <w:pgMar w:top="1440" w:right="1800" w:bottom="1440" w:left="1800" w:header="851" w:footer="992" w:gutter="0"/>
          <w:cols w:space="425" w:num="1"/>
          <w:docGrid w:type="lines" w:linePitch="312" w:charSpace="0"/>
        </w:sectPr>
      </w:pPr>
      <w:bookmarkStart w:id="2243" w:name="_Toc28389"/>
      <w:bookmarkStart w:id="2244" w:name="_Toc21975"/>
      <w:bookmarkStart w:id="2245" w:name="_Toc11349"/>
      <w:bookmarkStart w:id="2246" w:name="_Toc22847"/>
      <w:bookmarkStart w:id="2247" w:name="_Toc25819"/>
      <w:bookmarkStart w:id="2248" w:name="_Toc7528"/>
      <w:bookmarkStart w:id="2249" w:name="_Toc3167"/>
      <w:bookmarkStart w:id="2250" w:name="_Toc595"/>
      <w:bookmarkStart w:id="2251" w:name="_Toc7265"/>
      <w:bookmarkStart w:id="2252" w:name="_Toc20806"/>
      <w:bookmarkStart w:id="2253" w:name="_Toc30660"/>
      <w:bookmarkStart w:id="2254" w:name="_Toc18787"/>
      <w:bookmarkStart w:id="2255" w:name="_Toc30238"/>
      <w:bookmarkStart w:id="2256" w:name="_Toc14949"/>
      <w:bookmarkStart w:id="2257" w:name="_Toc9717"/>
      <w:bookmarkStart w:id="2258" w:name="_Toc24396"/>
      <w:bookmarkStart w:id="2259" w:name="_Toc6892"/>
      <w:bookmarkStart w:id="2260" w:name="_Toc10607"/>
      <w:bookmarkStart w:id="2261" w:name="_Toc24803"/>
      <w:bookmarkStart w:id="2262" w:name="_Toc4750"/>
      <w:bookmarkStart w:id="2263" w:name="_Toc10641"/>
      <w:bookmarkStart w:id="2264" w:name="_Toc21042"/>
      <w:bookmarkStart w:id="2265" w:name="_Toc5512"/>
      <w:bookmarkStart w:id="2266" w:name="_Toc8490"/>
      <w:bookmarkStart w:id="2267" w:name="_Toc2330"/>
      <w:bookmarkStart w:id="2268" w:name="_Toc21023"/>
      <w:bookmarkStart w:id="2269" w:name="_Toc6636"/>
      <w:bookmarkStart w:id="2270" w:name="_Toc11389"/>
      <w:bookmarkStart w:id="2271" w:name="_Toc20908"/>
      <w:bookmarkStart w:id="2272" w:name="_Toc21701"/>
      <w:bookmarkStart w:id="2273" w:name="_Toc25188"/>
      <w:bookmarkStart w:id="2274" w:name="_Toc16385"/>
      <w:bookmarkStart w:id="2275" w:name="_Toc12429"/>
      <w:bookmarkStart w:id="2276" w:name="_Toc20332"/>
      <w:bookmarkStart w:id="2277" w:name="_Toc9395"/>
    </w:p>
    <w:p>
      <w:pPr>
        <w:spacing w:line="600" w:lineRule="exact"/>
        <w:jc w:val="center"/>
        <w:outlineLvl w:val="0"/>
        <w:rPr>
          <w:rFonts w:ascii="黑体" w:hAnsi="黑体" w:eastAsia="黑体" w:cs="黑体"/>
          <w:sz w:val="40"/>
          <w:szCs w:val="40"/>
        </w:rPr>
      </w:pPr>
      <w:bookmarkStart w:id="2278" w:name="_Toc15938"/>
      <w:bookmarkStart w:id="2279" w:name="_Toc21216"/>
      <w:bookmarkStart w:id="2280" w:name="_Toc5732"/>
      <w:bookmarkStart w:id="2281" w:name="_Toc28134"/>
      <w:bookmarkStart w:id="2282" w:name="_Toc11584"/>
      <w:bookmarkStart w:id="2283" w:name="_Toc24074"/>
      <w:bookmarkStart w:id="2284" w:name="_Toc15727"/>
      <w:bookmarkStart w:id="2285" w:name="_Toc30938"/>
      <w:bookmarkStart w:id="2286" w:name="_Toc28158"/>
      <w:bookmarkStart w:id="2287" w:name="_Toc24918"/>
      <w:bookmarkStart w:id="2288" w:name="_Toc12458"/>
      <w:bookmarkStart w:id="2289" w:name="_Toc2675"/>
      <w:bookmarkStart w:id="2290" w:name="_Toc31343"/>
      <w:bookmarkStart w:id="2291" w:name="_Toc26580"/>
      <w:bookmarkStart w:id="2292" w:name="_Toc14427"/>
      <w:bookmarkStart w:id="2293" w:name="_Toc7438"/>
      <w:bookmarkStart w:id="2294" w:name="_Toc103"/>
      <w:bookmarkStart w:id="2295" w:name="_Toc19095"/>
      <w:bookmarkStart w:id="2296" w:name="_Toc2980"/>
      <w:bookmarkStart w:id="2297" w:name="_Toc602"/>
      <w:bookmarkStart w:id="2298" w:name="_Toc2895"/>
      <w:bookmarkStart w:id="2299" w:name="_Toc8203"/>
      <w:bookmarkStart w:id="2300" w:name="_Toc23567"/>
      <w:bookmarkStart w:id="2301" w:name="_Toc32163"/>
      <w:bookmarkStart w:id="2302" w:name="_Toc15124"/>
      <w:bookmarkStart w:id="2303" w:name="_Toc28682"/>
      <w:bookmarkStart w:id="2304" w:name="_Toc12956"/>
      <w:bookmarkStart w:id="2305" w:name="_Toc19930"/>
      <w:bookmarkStart w:id="2306" w:name="_Toc28437"/>
      <w:bookmarkStart w:id="2307" w:name="_Toc5030"/>
      <w:bookmarkStart w:id="2308" w:name="_Toc1226"/>
      <w:bookmarkStart w:id="2309" w:name="_Toc10547"/>
      <w:bookmarkStart w:id="2310" w:name="_Toc32262"/>
      <w:bookmarkStart w:id="2311" w:name="_Toc2766"/>
      <w:bookmarkStart w:id="2312" w:name="_Toc4301"/>
      <w:bookmarkStart w:id="2313" w:name="_Toc8685"/>
      <w:bookmarkStart w:id="2314" w:name="_Toc32372"/>
      <w:r>
        <w:rPr>
          <w:rFonts w:hint="eastAsia" w:ascii="黑体" w:hAnsi="黑体" w:eastAsia="黑体" w:cs="黑体"/>
          <w:sz w:val="40"/>
          <w:szCs w:val="40"/>
        </w:rPr>
        <w:t>第四篇 率先建设体现高质量发展要求的现代化经济体系</w:t>
      </w:r>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p>
    <w:p>
      <w:pPr>
        <w:spacing w:line="600" w:lineRule="exact"/>
      </w:pPr>
    </w:p>
    <w:p>
      <w:pPr>
        <w:overflowPunct w:val="0"/>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坚定不移实施创新驱动发展战略，培育新动能、提升新势能，打好产业链供应链优化升级攻坚战，构建实体经济、科技创新、现代金融、人力资源协同发展的现代产业体系，率先推动质量变革、效率变革、动力变革。</w:t>
      </w:r>
    </w:p>
    <w:p>
      <w:pPr>
        <w:pStyle w:val="8"/>
        <w:spacing w:line="600" w:lineRule="exact"/>
      </w:pPr>
    </w:p>
    <w:p>
      <w:pPr>
        <w:numPr>
          <w:ilvl w:val="255"/>
          <w:numId w:val="0"/>
        </w:numPr>
        <w:spacing w:line="600" w:lineRule="exact"/>
        <w:jc w:val="center"/>
        <w:outlineLvl w:val="1"/>
        <w:rPr>
          <w:rFonts w:ascii="黑体" w:hAnsi="黑体" w:eastAsia="黑体" w:cs="黑体"/>
          <w:sz w:val="36"/>
          <w:szCs w:val="36"/>
        </w:rPr>
      </w:pPr>
      <w:bookmarkStart w:id="2315" w:name="_Toc31969"/>
      <w:bookmarkStart w:id="2316" w:name="_Toc12672"/>
      <w:bookmarkStart w:id="2317" w:name="_Toc26438"/>
      <w:bookmarkStart w:id="2318" w:name="_Toc7174"/>
      <w:bookmarkStart w:id="2319" w:name="_Toc8277"/>
      <w:bookmarkStart w:id="2320" w:name="_Toc1039"/>
      <w:bookmarkStart w:id="2321" w:name="_Toc26949"/>
      <w:bookmarkStart w:id="2322" w:name="_Toc28365"/>
      <w:bookmarkStart w:id="2323" w:name="_Toc14080"/>
      <w:bookmarkStart w:id="2324" w:name="_Toc13071"/>
      <w:bookmarkStart w:id="2325" w:name="_Toc13803"/>
      <w:bookmarkStart w:id="2326" w:name="_Toc21849"/>
      <w:bookmarkStart w:id="2327" w:name="_Toc10975"/>
      <w:bookmarkStart w:id="2328" w:name="_Toc30314"/>
      <w:bookmarkStart w:id="2329" w:name="_Toc9153"/>
      <w:bookmarkStart w:id="2330" w:name="_Toc10277"/>
      <w:bookmarkStart w:id="2331" w:name="_Toc8913"/>
      <w:bookmarkStart w:id="2332" w:name="_Toc23400"/>
      <w:bookmarkStart w:id="2333" w:name="_Toc25656"/>
      <w:bookmarkStart w:id="2334" w:name="_Toc29480"/>
      <w:bookmarkStart w:id="2335" w:name="_Toc26433"/>
      <w:bookmarkStart w:id="2336" w:name="_Toc12268"/>
      <w:bookmarkStart w:id="2337" w:name="_Toc1955"/>
      <w:bookmarkStart w:id="2338" w:name="_Toc14932"/>
      <w:bookmarkStart w:id="2339" w:name="_Toc28193"/>
      <w:bookmarkStart w:id="2340" w:name="_Toc24673"/>
      <w:bookmarkStart w:id="2341" w:name="_Toc27407"/>
      <w:bookmarkStart w:id="2342" w:name="_Toc22556"/>
      <w:bookmarkStart w:id="2343" w:name="_Toc11581"/>
      <w:bookmarkStart w:id="2344" w:name="_Toc135"/>
      <w:bookmarkStart w:id="2345" w:name="_Toc7960"/>
      <w:bookmarkStart w:id="2346" w:name="_Toc27631"/>
      <w:bookmarkStart w:id="2347" w:name="_Toc5629"/>
      <w:bookmarkStart w:id="2348" w:name="_Toc18317"/>
      <w:bookmarkStart w:id="2349" w:name="_Toc11264"/>
      <w:bookmarkStart w:id="2350" w:name="_Toc23711"/>
      <w:bookmarkStart w:id="2351" w:name="_Toc1965"/>
      <w:bookmarkStart w:id="2352" w:name="_Toc3074"/>
      <w:bookmarkStart w:id="2353" w:name="_Toc12844"/>
      <w:bookmarkStart w:id="2354" w:name="_Toc17612"/>
      <w:bookmarkStart w:id="2355" w:name="_Toc14334"/>
      <w:bookmarkStart w:id="2356" w:name="_Toc17610"/>
      <w:bookmarkStart w:id="2357" w:name="_Toc7581"/>
      <w:bookmarkStart w:id="2358" w:name="_Toc12642"/>
      <w:bookmarkStart w:id="2359" w:name="_Toc25823"/>
      <w:bookmarkStart w:id="2360" w:name="_Toc3344"/>
      <w:bookmarkStart w:id="2361" w:name="_Toc12512"/>
      <w:bookmarkStart w:id="2362" w:name="_Toc30804"/>
      <w:bookmarkStart w:id="2363" w:name="_Toc32019"/>
      <w:bookmarkStart w:id="2364" w:name="_Toc21542"/>
      <w:bookmarkStart w:id="2365" w:name="_Toc5423"/>
      <w:bookmarkStart w:id="2366" w:name="_Toc26149"/>
      <w:bookmarkStart w:id="2367" w:name="_Toc14972"/>
      <w:bookmarkStart w:id="2368" w:name="_Toc14938"/>
      <w:bookmarkStart w:id="2369" w:name="_Toc17795"/>
      <w:bookmarkStart w:id="2370" w:name="_Toc4493"/>
      <w:bookmarkStart w:id="2371" w:name="_Toc9598"/>
      <w:bookmarkStart w:id="2372" w:name="_Toc9771"/>
      <w:bookmarkStart w:id="2373" w:name="_Toc32402"/>
      <w:bookmarkStart w:id="2374" w:name="_Toc23794"/>
      <w:bookmarkStart w:id="2375" w:name="_Toc8737"/>
      <w:bookmarkStart w:id="2376" w:name="_Toc8426"/>
      <w:bookmarkStart w:id="2377" w:name="_Toc16125"/>
      <w:bookmarkStart w:id="2378" w:name="_Toc28427"/>
      <w:bookmarkStart w:id="2379" w:name="_Toc5444"/>
      <w:bookmarkStart w:id="2380" w:name="_Toc25502"/>
      <w:bookmarkStart w:id="2381" w:name="_Toc4724"/>
      <w:bookmarkStart w:id="2382" w:name="_Toc18528"/>
      <w:bookmarkStart w:id="2383" w:name="_Toc12487"/>
      <w:bookmarkStart w:id="2384" w:name="_Toc27680"/>
      <w:bookmarkStart w:id="2385" w:name="_Toc8367"/>
      <w:bookmarkStart w:id="2386" w:name="_Toc4897"/>
      <w:r>
        <w:rPr>
          <w:rFonts w:hint="eastAsia" w:ascii="黑体" w:hAnsi="黑体" w:eastAsia="黑体" w:cs="黑体"/>
          <w:sz w:val="36"/>
          <w:szCs w:val="36"/>
        </w:rPr>
        <w:t xml:space="preserve">第七章 </w:t>
      </w:r>
      <w:bookmarkEnd w:id="2315"/>
      <w:bookmarkEnd w:id="2316"/>
      <w:bookmarkEnd w:id="2317"/>
      <w:bookmarkEnd w:id="2318"/>
      <w:bookmarkEnd w:id="2319"/>
      <w:bookmarkEnd w:id="2320"/>
      <w:bookmarkEnd w:id="2321"/>
      <w:bookmarkEnd w:id="2322"/>
      <w:bookmarkEnd w:id="2323"/>
      <w:r>
        <w:rPr>
          <w:rFonts w:hint="eastAsia" w:ascii="黑体" w:hAnsi="黑体" w:eastAsia="黑体" w:cs="黑体"/>
          <w:sz w:val="36"/>
          <w:szCs w:val="36"/>
        </w:rPr>
        <w:t>建设具有全球影响力的科技和产业创新高地</w:t>
      </w:r>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p>
    <w:p>
      <w:pPr>
        <w:pStyle w:val="2"/>
        <w:spacing w:line="600" w:lineRule="exact"/>
      </w:pPr>
    </w:p>
    <w:p>
      <w:pPr>
        <w:overflowPunct w:val="0"/>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加大基础研究和应用基础研究投入力度，发挥深圳产学研深度融合优势，主动融入全球创新网络，着力提升自主创新能力，加速科技成果向现实生产力转化，建设具有全球影响力的科技和产业创新高地。</w:t>
      </w:r>
    </w:p>
    <w:p>
      <w:pPr>
        <w:overflowPunct w:val="0"/>
        <w:adjustRightInd w:val="0"/>
        <w:snapToGrid w:val="0"/>
        <w:spacing w:line="600" w:lineRule="exact"/>
        <w:ind w:firstLine="640" w:firstLineChars="200"/>
        <w:rPr>
          <w:rFonts w:ascii="仿宋_GB2312" w:eastAsia="仿宋_GB2312"/>
          <w:sz w:val="32"/>
          <w:szCs w:val="32"/>
        </w:rPr>
      </w:pPr>
    </w:p>
    <w:p>
      <w:pPr>
        <w:spacing w:line="600" w:lineRule="exact"/>
        <w:jc w:val="center"/>
        <w:outlineLvl w:val="2"/>
        <w:rPr>
          <w:rFonts w:ascii="楷体" w:hAnsi="楷体" w:eastAsia="楷体" w:cs="楷体"/>
          <w:b/>
          <w:bCs/>
          <w:color w:val="000000" w:themeColor="text1"/>
          <w:sz w:val="32"/>
          <w:szCs w:val="32"/>
          <w14:textFill>
            <w14:solidFill>
              <w14:schemeClr w14:val="tx1"/>
            </w14:solidFill>
          </w14:textFill>
        </w:rPr>
      </w:pPr>
      <w:bookmarkStart w:id="2387" w:name="_Toc4511"/>
      <w:bookmarkStart w:id="2388" w:name="_Toc8194"/>
      <w:bookmarkStart w:id="2389" w:name="_Toc5875"/>
      <w:bookmarkStart w:id="2390" w:name="_Toc17314"/>
      <w:bookmarkStart w:id="2391" w:name="_Toc14563"/>
      <w:bookmarkStart w:id="2392" w:name="_Toc11451"/>
      <w:bookmarkStart w:id="2393" w:name="_Toc14131"/>
      <w:bookmarkStart w:id="2394" w:name="_Toc19403"/>
      <w:bookmarkStart w:id="2395" w:name="_Toc26977"/>
      <w:bookmarkStart w:id="2396" w:name="_Toc14229"/>
      <w:bookmarkStart w:id="2397" w:name="_Toc21395"/>
      <w:bookmarkStart w:id="2398" w:name="_Toc18508"/>
      <w:bookmarkStart w:id="2399" w:name="_Toc1511"/>
      <w:bookmarkStart w:id="2400" w:name="_Toc2363"/>
      <w:bookmarkStart w:id="2401" w:name="_Toc8009"/>
      <w:bookmarkStart w:id="2402" w:name="_Toc27077"/>
      <w:bookmarkStart w:id="2403" w:name="_Toc31997"/>
      <w:bookmarkStart w:id="2404" w:name="_Toc18541"/>
      <w:bookmarkStart w:id="2405" w:name="_Toc818"/>
      <w:bookmarkStart w:id="2406" w:name="_Toc23294"/>
      <w:bookmarkStart w:id="2407" w:name="_Toc12833"/>
      <w:bookmarkStart w:id="2408" w:name="_Toc30007"/>
      <w:bookmarkStart w:id="2409" w:name="_Toc21807"/>
      <w:bookmarkStart w:id="2410" w:name="_Toc13557"/>
      <w:bookmarkStart w:id="2411" w:name="_Toc1995"/>
      <w:bookmarkStart w:id="2412" w:name="_Toc6608"/>
      <w:bookmarkStart w:id="2413" w:name="_Toc27007"/>
      <w:bookmarkStart w:id="2414" w:name="_Toc4004"/>
      <w:bookmarkStart w:id="2415" w:name="_Toc26688"/>
      <w:bookmarkStart w:id="2416" w:name="_Toc28351"/>
      <w:bookmarkStart w:id="2417" w:name="_Toc29345"/>
      <w:bookmarkStart w:id="2418" w:name="_Toc13204"/>
      <w:bookmarkStart w:id="2419" w:name="_Toc18641"/>
      <w:bookmarkStart w:id="2420" w:name="_Toc18985"/>
      <w:bookmarkStart w:id="2421" w:name="_Toc3514"/>
      <w:bookmarkStart w:id="2422" w:name="_Toc20760"/>
      <w:bookmarkStart w:id="2423" w:name="_Toc14263"/>
      <w:bookmarkStart w:id="2424" w:name="_Toc27189"/>
      <w:bookmarkStart w:id="2425" w:name="_Toc157"/>
      <w:bookmarkStart w:id="2426" w:name="_Toc1606"/>
      <w:bookmarkStart w:id="2427" w:name="_Toc22753"/>
      <w:bookmarkStart w:id="2428" w:name="_Toc5436"/>
      <w:bookmarkStart w:id="2429" w:name="_Toc195"/>
      <w:bookmarkStart w:id="2430" w:name="_Toc8860"/>
      <w:bookmarkStart w:id="2431" w:name="_Toc16291"/>
      <w:bookmarkStart w:id="2432" w:name="_Toc14128"/>
      <w:bookmarkStart w:id="2433" w:name="_Toc27042"/>
      <w:bookmarkStart w:id="2434" w:name="_Toc21230"/>
      <w:bookmarkStart w:id="2435" w:name="_Toc30240"/>
      <w:bookmarkStart w:id="2436" w:name="_Toc9192"/>
      <w:bookmarkStart w:id="2437" w:name="_Toc16917"/>
      <w:bookmarkStart w:id="2438" w:name="_Toc22856"/>
      <w:bookmarkStart w:id="2439" w:name="_Toc26100"/>
      <w:bookmarkStart w:id="2440" w:name="_Toc8579"/>
      <w:bookmarkStart w:id="2441" w:name="_Toc2824"/>
      <w:bookmarkStart w:id="2442" w:name="_Toc25996"/>
      <w:bookmarkStart w:id="2443" w:name="_Toc17731"/>
      <w:bookmarkStart w:id="2444" w:name="_Toc1024"/>
      <w:bookmarkStart w:id="2445" w:name="_Toc24049"/>
      <w:bookmarkStart w:id="2446" w:name="_Toc25935"/>
      <w:bookmarkStart w:id="2447" w:name="_Toc20497"/>
      <w:bookmarkStart w:id="2448" w:name="_Toc2153"/>
      <w:bookmarkStart w:id="2449" w:name="_Toc26911"/>
      <w:bookmarkStart w:id="2450" w:name="_Toc30832"/>
      <w:bookmarkStart w:id="2451" w:name="_Toc6782"/>
      <w:bookmarkStart w:id="2452" w:name="_Toc25717"/>
      <w:bookmarkStart w:id="2453" w:name="_Toc11094"/>
      <w:bookmarkStart w:id="2454" w:name="_Toc18488"/>
      <w:bookmarkStart w:id="2455" w:name="_Toc7005"/>
      <w:bookmarkStart w:id="2456" w:name="_Toc4322"/>
      <w:bookmarkStart w:id="2457" w:name="_Toc29617"/>
      <w:bookmarkStart w:id="2458" w:name="_Toc23052"/>
      <w:r>
        <w:rPr>
          <w:rFonts w:hint="eastAsia" w:ascii="楷体" w:hAnsi="楷体" w:eastAsia="楷体" w:cs="楷体"/>
          <w:b/>
          <w:bCs/>
          <w:color w:val="000000" w:themeColor="text1"/>
          <w:sz w:val="32"/>
          <w:szCs w:val="32"/>
          <w14:textFill>
            <w14:solidFill>
              <w14:schemeClr w14:val="tx1"/>
            </w14:solidFill>
          </w14:textFill>
        </w:rPr>
        <w:t>第一节 共建大湾区综合性国家科学中心</w:t>
      </w:r>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p>
    <w:p>
      <w:pPr>
        <w:widowControl/>
        <w:numPr>
          <w:ilvl w:val="255"/>
          <w:numId w:val="0"/>
        </w:numPr>
        <w:spacing w:line="600" w:lineRule="exact"/>
        <w:ind w:firstLine="643"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b/>
          <w:bCs/>
          <w:sz w:val="32"/>
          <w:szCs w:val="32"/>
        </w:rPr>
        <w:t>以主阵地作为推进综合性国家科学中心建设。</w:t>
      </w:r>
      <w:r>
        <w:rPr>
          <w:rFonts w:hint="eastAsia" w:ascii="仿宋_GB2312" w:hAnsi="仿宋_GB2312" w:eastAsia="仿宋_GB2312" w:cs="仿宋_GB2312"/>
          <w:sz w:val="32"/>
          <w:szCs w:val="32"/>
        </w:rPr>
        <w:t>聚焦信息科学、生命科学和新材料科学领域，</w:t>
      </w:r>
      <w:r>
        <w:rPr>
          <w:rFonts w:hint="eastAsia" w:ascii="仿宋_GB2312" w:hAnsi="仿宋_GB2312" w:eastAsia="仿宋_GB2312" w:cs="仿宋_GB2312"/>
          <w:bCs/>
          <w:sz w:val="32"/>
          <w:szCs w:val="32"/>
        </w:rPr>
        <w:t>以光明科学城为主体集中布局重大科技基础设施，</w:t>
      </w:r>
      <w:r>
        <w:rPr>
          <w:rFonts w:hint="eastAsia" w:ascii="仿宋_GB2312" w:hAnsi="仿宋_GB2312" w:eastAsia="仿宋_GB2312" w:cs="仿宋_GB2312"/>
          <w:sz w:val="32"/>
          <w:szCs w:val="32"/>
        </w:rPr>
        <w:t>以应用研究带动基础研究，实现</w:t>
      </w:r>
      <w:r>
        <w:rPr>
          <w:rFonts w:hint="eastAsia" w:ascii="仿宋_GB2312" w:hAnsi="仿宋_GB2312" w:eastAsia="仿宋_GB2312" w:cs="仿宋_GB2312"/>
          <w:color w:val="000000"/>
          <w:sz w:val="32"/>
          <w:szCs w:val="32"/>
        </w:rPr>
        <w:t>科学研究、实验开发、推广应用有机联动。</w:t>
      </w:r>
      <w:r>
        <w:rPr>
          <w:rFonts w:hint="eastAsia" w:ascii="仿宋_GB2312" w:hAnsi="仿宋_GB2312" w:eastAsia="仿宋_GB2312" w:cs="仿宋_GB2312"/>
          <w:sz w:val="32"/>
          <w:szCs w:val="32"/>
        </w:rPr>
        <w:t>创新综合性国家科学中心运行机制，探索建立符合大科学时代科研规律的科学研究组织形式。健全重大科技基础设施运营管理和开放共享机制，支持港澳高校和龙头企业参与重大科技基础设施建设。面向产业需求统筹布局重大创新平台、集聚高端创新人才、安排重大创新项目，打造粤港澳大湾区重大原始创新策源地和科研成果中试转化基地。</w:t>
      </w:r>
    </w:p>
    <w:p>
      <w:pPr>
        <w:spacing w:line="60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打造以国家实验室为龙头的战略科技力量。</w:t>
      </w:r>
      <w:r>
        <w:rPr>
          <w:rFonts w:hint="eastAsia" w:ascii="仿宋_GB2312" w:hAnsi="仿宋_GB2312" w:eastAsia="仿宋_GB2312" w:cs="仿宋_GB2312"/>
          <w:bCs/>
          <w:sz w:val="32"/>
          <w:szCs w:val="32"/>
        </w:rPr>
        <w:t>聚焦宽带通信和新型网络等领域建设国家实验室，打造世界顶尖的网络通信研究中心。</w:t>
      </w:r>
      <w:r>
        <w:rPr>
          <w:rFonts w:hint="eastAsia" w:ascii="仿宋_GB2312" w:hAnsi="仿宋_GB2312" w:eastAsia="仿宋_GB2312" w:cs="仿宋_GB2312"/>
          <w:sz w:val="32"/>
          <w:szCs w:val="32"/>
        </w:rPr>
        <w:t>推进量子、生物医药等国家实验室</w:t>
      </w:r>
      <w:r>
        <w:rPr>
          <w:rFonts w:hint="eastAsia" w:ascii="仿宋_GB2312" w:hAnsi="仿宋_GB2312" w:eastAsia="仿宋_GB2312" w:cs="仿宋_GB2312"/>
          <w:bCs/>
          <w:sz w:val="32"/>
          <w:szCs w:val="32"/>
        </w:rPr>
        <w:t>基地建设，加强省部共建国家重点实验室，</w:t>
      </w:r>
      <w:r>
        <w:rPr>
          <w:rFonts w:hint="eastAsia" w:ascii="仿宋_GB2312" w:hAnsi="仿宋_GB2312" w:eastAsia="仿宋_GB2312" w:cs="仿宋_GB2312"/>
          <w:sz w:val="32"/>
          <w:szCs w:val="32"/>
        </w:rPr>
        <w:t>支持设在港澳的国家重点实验室在深圳建设分室。推进</w:t>
      </w:r>
      <w:r>
        <w:rPr>
          <w:rFonts w:hint="eastAsia" w:ascii="仿宋_GB2312" w:hAnsi="仿宋_GB2312" w:eastAsia="仿宋_GB2312" w:cs="仿宋_GB2312"/>
          <w:bCs/>
          <w:sz w:val="32"/>
          <w:szCs w:val="32"/>
        </w:rPr>
        <w:t>广东省实验室建设，完善建设管理运行机制。加大市级重点实验室建设力度，提升诺贝尔奖科学家实验室创新能级，联合建设一批国际伙伴实验室。</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构建重大战略创新平台体系。</w:t>
      </w:r>
      <w:r>
        <w:rPr>
          <w:rFonts w:hint="eastAsia" w:ascii="仿宋_GB2312" w:hAnsi="仿宋_GB2312" w:eastAsia="仿宋_GB2312" w:cs="仿宋_GB2312"/>
          <w:bCs/>
          <w:sz w:val="32"/>
          <w:szCs w:val="32"/>
        </w:rPr>
        <w:t>高标准建设光明科学城，按照国家统一规划部署，加快建设一批重大科技基础设施，一体化建设前沿交叉研究平台和</w:t>
      </w:r>
      <w:r>
        <w:rPr>
          <w:rFonts w:hint="eastAsia" w:ascii="仿宋_GB2312" w:hAnsi="仿宋_GB2312" w:eastAsia="仿宋_GB2312" w:cs="仿宋_GB2312"/>
          <w:sz w:val="32"/>
          <w:szCs w:val="32"/>
        </w:rPr>
        <w:t>产业创新中心，布局光明国际技术转移中心，打造世界一流的综合性国家科学中心集中承载区</w:t>
      </w:r>
      <w:r>
        <w:rPr>
          <w:rFonts w:hint="eastAsia" w:ascii="仿宋_GB2312" w:hAnsi="仿宋_GB2312" w:eastAsia="仿宋_GB2312" w:cs="仿宋_GB2312"/>
          <w:bCs/>
          <w:sz w:val="32"/>
          <w:szCs w:val="32"/>
        </w:rPr>
        <w:t>。创新河套深港科技创新合作区体制机制，全面对接国际科技创新规则制度，推动国际性产业与标准化组织落地，规划建设中科院香港创新研究院深圳园区。规划建设西丽湖国际科教城，完善部省市合作共建机制，创新开发建设模式，打</w:t>
      </w:r>
      <w:r>
        <w:rPr>
          <w:rFonts w:hint="eastAsia" w:ascii="仿宋_GB2312" w:hAnsi="仿宋_GB2312" w:eastAsia="仿宋_GB2312" w:cs="仿宋_GB2312"/>
          <w:sz w:val="32"/>
          <w:szCs w:val="32"/>
        </w:rPr>
        <w:t>造产学研用深度融合示范区。充分发挥国际大学园和龙头企业的带动作用，建设大运深港国际科教城。</w:t>
      </w:r>
    </w:p>
    <w:tbl>
      <w:tblPr>
        <w:tblStyle w:val="28"/>
        <w:tblW w:w="8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8018" w:type="dxa"/>
            <w:vAlign w:val="center"/>
          </w:tcPr>
          <w:p>
            <w:pPr>
              <w:pStyle w:val="43"/>
              <w:overflowPunct w:val="0"/>
              <w:adjustRightInd w:val="0"/>
              <w:snapToGrid w:val="0"/>
              <w:spacing w:line="400" w:lineRule="exact"/>
              <w:ind w:left="-420" w:leftChars="-200" w:firstLine="482"/>
              <w:jc w:val="center"/>
              <w:rPr>
                <w:rFonts w:ascii="宋体" w:hAnsi="宋体" w:cs="宋体"/>
                <w:b/>
                <w:color w:val="000000"/>
                <w:sz w:val="24"/>
                <w:lang w:val="zh-CN"/>
              </w:rPr>
            </w:pPr>
            <w:r>
              <w:rPr>
                <w:rFonts w:hint="eastAsia" w:ascii="宋体" w:hAnsi="宋体" w:cs="宋体"/>
                <w:b/>
                <w:color w:val="000000"/>
                <w:sz w:val="24"/>
                <w:lang w:val="zh-CN"/>
              </w:rPr>
              <w:t>专栏</w:t>
            </w:r>
            <w:r>
              <w:rPr>
                <w:rFonts w:hint="eastAsia" w:ascii="宋体" w:hAnsi="宋体" w:cs="宋体"/>
                <w:b/>
                <w:color w:val="000000"/>
                <w:sz w:val="24"/>
              </w:rPr>
              <w:t>6</w:t>
            </w:r>
            <w:r>
              <w:rPr>
                <w:rFonts w:hint="eastAsia" w:ascii="宋体" w:hAnsi="宋体" w:cs="宋体"/>
                <w:b/>
                <w:color w:val="000000"/>
                <w:sz w:val="24"/>
                <w:lang w:val="zh-CN"/>
              </w:rPr>
              <w:t>：科技创新重大工程</w:t>
            </w:r>
          </w:p>
          <w:p>
            <w:pPr>
              <w:pStyle w:val="43"/>
              <w:numPr>
                <w:ilvl w:val="0"/>
                <w:numId w:val="4"/>
              </w:numPr>
              <w:overflowPunct w:val="0"/>
              <w:adjustRightInd w:val="0"/>
              <w:snapToGrid w:val="0"/>
              <w:spacing w:line="400" w:lineRule="exact"/>
              <w:ind w:firstLineChars="0"/>
              <w:rPr>
                <w:rFonts w:ascii="宋体" w:hAnsi="宋体" w:cs="宋体"/>
                <w:bCs/>
                <w:color w:val="000000"/>
                <w:sz w:val="24"/>
              </w:rPr>
            </w:pPr>
            <w:r>
              <w:rPr>
                <w:rFonts w:hint="eastAsia" w:ascii="宋体" w:hAnsi="宋体" w:cs="宋体"/>
                <w:b/>
                <w:color w:val="000000"/>
                <w:sz w:val="24"/>
              </w:rPr>
              <w:t>重大科技基础设施：</w:t>
            </w:r>
            <w:r>
              <w:rPr>
                <w:rFonts w:hint="eastAsia" w:ascii="宋体" w:hAnsi="宋体" w:cs="宋体"/>
                <w:bCs/>
                <w:color w:val="000000"/>
                <w:sz w:val="24"/>
                <w:lang w:val="zh-CN"/>
              </w:rPr>
              <w:t>加快建设综合粒子设施、鹏城云脑三期、脑解析与脑模拟设施、材料基因组大科学装置、合成生物研究设施、精准医学影像大设施、深圳国家基因库（二期）、未来网络试验设施（深圳中心）、国家超级计算深圳中心（二期）、特殊环境材料器件科学与应用研究装置等项目。</w:t>
            </w:r>
          </w:p>
          <w:p>
            <w:pPr>
              <w:pStyle w:val="43"/>
              <w:numPr>
                <w:ilvl w:val="0"/>
                <w:numId w:val="4"/>
              </w:numPr>
              <w:overflowPunct w:val="0"/>
              <w:adjustRightInd w:val="0"/>
              <w:snapToGrid w:val="0"/>
              <w:spacing w:line="400" w:lineRule="exact"/>
              <w:ind w:firstLineChars="0"/>
              <w:rPr>
                <w:rFonts w:ascii="宋体" w:hAnsi="宋体" w:cs="宋体"/>
                <w:bCs/>
                <w:color w:val="000000"/>
                <w:sz w:val="24"/>
              </w:rPr>
            </w:pPr>
            <w:r>
              <w:rPr>
                <w:rFonts w:hint="eastAsia" w:ascii="宋体" w:hAnsi="宋体" w:cs="宋体"/>
                <w:b/>
                <w:color w:val="000000"/>
                <w:sz w:val="24"/>
                <w:lang w:val="zh-CN"/>
              </w:rPr>
              <w:t>前沿交叉研究平台：</w:t>
            </w:r>
            <w:r>
              <w:rPr>
                <w:rFonts w:hint="eastAsia" w:ascii="宋体" w:hAnsi="宋体" w:cs="宋体"/>
                <w:bCs/>
                <w:color w:val="000000"/>
                <w:sz w:val="24"/>
                <w:lang w:val="zh-CN"/>
              </w:rPr>
              <w:t>加快建设光明科学城大数据中心、深圳中国计量科学研究院技术创新研究院</w:t>
            </w:r>
            <w:r>
              <w:rPr>
                <w:rFonts w:hint="eastAsia" w:ascii="宋体" w:hAnsi="宋体" w:cs="宋体"/>
                <w:bCs/>
                <w:color w:val="000000"/>
                <w:sz w:val="24"/>
              </w:rPr>
              <w:t>、</w:t>
            </w:r>
            <w:r>
              <w:rPr>
                <w:rFonts w:hint="eastAsia" w:ascii="宋体" w:hAnsi="宋体" w:cs="宋体"/>
                <w:bCs/>
                <w:color w:val="000000"/>
                <w:sz w:val="24"/>
                <w:lang w:val="zh-CN"/>
              </w:rPr>
              <w:t>高端科研仪器研制中心</w:t>
            </w:r>
            <w:r>
              <w:rPr>
                <w:rFonts w:hint="eastAsia" w:ascii="宋体" w:hAnsi="宋体" w:cs="宋体"/>
                <w:bCs/>
                <w:color w:val="000000"/>
                <w:sz w:val="24"/>
              </w:rPr>
              <w:t>等项目。</w:t>
            </w:r>
          </w:p>
          <w:p>
            <w:pPr>
              <w:pStyle w:val="43"/>
              <w:numPr>
                <w:ilvl w:val="0"/>
                <w:numId w:val="4"/>
              </w:numPr>
              <w:overflowPunct w:val="0"/>
              <w:adjustRightInd w:val="0"/>
              <w:snapToGrid w:val="0"/>
              <w:spacing w:line="400" w:lineRule="exact"/>
              <w:ind w:firstLineChars="0"/>
              <w:rPr>
                <w:rFonts w:ascii="宋体" w:hAnsi="宋体" w:cs="宋体"/>
                <w:bCs/>
                <w:color w:val="000000"/>
                <w:sz w:val="24"/>
              </w:rPr>
            </w:pPr>
            <w:r>
              <w:rPr>
                <w:rFonts w:hint="eastAsia" w:ascii="宋体" w:hAnsi="宋体" w:cs="宋体"/>
                <w:b/>
                <w:color w:val="000000"/>
                <w:sz w:val="24"/>
                <w:lang w:val="zh-CN"/>
              </w:rPr>
              <w:t>国家和省实验室：</w:t>
            </w:r>
            <w:r>
              <w:rPr>
                <w:rFonts w:hint="eastAsia" w:ascii="宋体" w:hAnsi="宋体" w:cs="宋体"/>
                <w:bCs/>
                <w:color w:val="000000"/>
                <w:sz w:val="24"/>
                <w:lang w:val="zh-CN"/>
              </w:rPr>
              <w:t>加快建设鹏城实验室、深圳湾实验室、人工智能与数字经济广东省实验室（深圳）、岭南现代农业科学与技术广东省实验室深圳分中心等。</w:t>
            </w:r>
          </w:p>
        </w:tc>
      </w:tr>
    </w:tbl>
    <w:p>
      <w:pPr>
        <w:pStyle w:val="2"/>
        <w:spacing w:line="600" w:lineRule="exact"/>
      </w:pPr>
    </w:p>
    <w:p>
      <w:pPr>
        <w:spacing w:line="600" w:lineRule="exact"/>
        <w:jc w:val="center"/>
        <w:outlineLvl w:val="2"/>
        <w:rPr>
          <w:rFonts w:ascii="楷体" w:hAnsi="楷体" w:eastAsia="楷体" w:cs="楷体"/>
          <w:b/>
          <w:bCs/>
          <w:color w:val="000000" w:themeColor="text1"/>
          <w:sz w:val="32"/>
          <w:szCs w:val="32"/>
          <w14:textFill>
            <w14:solidFill>
              <w14:schemeClr w14:val="tx1"/>
            </w14:solidFill>
          </w14:textFill>
        </w:rPr>
      </w:pPr>
      <w:bookmarkStart w:id="2459" w:name="_Toc21984"/>
      <w:bookmarkStart w:id="2460" w:name="_Toc10803"/>
      <w:bookmarkStart w:id="2461" w:name="_Toc15865"/>
      <w:bookmarkStart w:id="2462" w:name="_Toc19004"/>
      <w:bookmarkStart w:id="2463" w:name="_Toc9105"/>
      <w:bookmarkStart w:id="2464" w:name="_Toc15365"/>
      <w:bookmarkStart w:id="2465" w:name="_Toc18990"/>
      <w:bookmarkStart w:id="2466" w:name="_Toc292"/>
      <w:bookmarkStart w:id="2467" w:name="_Toc23605"/>
      <w:bookmarkStart w:id="2468" w:name="_Toc30040"/>
      <w:bookmarkStart w:id="2469" w:name="_Toc5240"/>
      <w:bookmarkStart w:id="2470" w:name="_Toc32079"/>
      <w:bookmarkStart w:id="2471" w:name="_Toc24739"/>
      <w:bookmarkStart w:id="2472" w:name="_Toc19150"/>
      <w:bookmarkStart w:id="2473" w:name="_Toc3033"/>
      <w:bookmarkStart w:id="2474" w:name="_Toc29191"/>
      <w:bookmarkStart w:id="2475" w:name="_Toc23656"/>
      <w:bookmarkStart w:id="2476" w:name="_Toc11292"/>
      <w:bookmarkStart w:id="2477" w:name="_Toc9688"/>
      <w:bookmarkStart w:id="2478" w:name="_Toc20202"/>
      <w:bookmarkStart w:id="2479" w:name="_Toc23838"/>
      <w:bookmarkStart w:id="2480" w:name="_Toc18015"/>
      <w:bookmarkStart w:id="2481" w:name="_Toc31136"/>
      <w:bookmarkStart w:id="2482" w:name="_Toc12578"/>
      <w:bookmarkStart w:id="2483" w:name="_Toc10273"/>
      <w:bookmarkStart w:id="2484" w:name="_Toc23705"/>
      <w:bookmarkStart w:id="2485" w:name="_Toc9836"/>
      <w:bookmarkStart w:id="2486" w:name="_Toc14837"/>
      <w:bookmarkStart w:id="2487" w:name="_Toc14657"/>
      <w:bookmarkStart w:id="2488" w:name="_Toc28801"/>
      <w:bookmarkStart w:id="2489" w:name="_Toc22354"/>
      <w:bookmarkStart w:id="2490" w:name="_Toc3347"/>
      <w:bookmarkStart w:id="2491" w:name="_Toc16270"/>
      <w:bookmarkStart w:id="2492" w:name="_Toc16417"/>
      <w:bookmarkStart w:id="2493" w:name="_Toc6232"/>
      <w:bookmarkStart w:id="2494" w:name="_Toc2413"/>
      <w:bookmarkStart w:id="2495" w:name="_Toc19086"/>
      <w:bookmarkStart w:id="2496" w:name="_Toc3352"/>
      <w:bookmarkStart w:id="2497" w:name="_Toc1797"/>
      <w:bookmarkStart w:id="2498" w:name="_Toc13301"/>
      <w:bookmarkStart w:id="2499" w:name="_Toc31588"/>
      <w:bookmarkStart w:id="2500" w:name="_Toc25784"/>
      <w:bookmarkStart w:id="2501" w:name="_Toc5764"/>
      <w:bookmarkStart w:id="2502" w:name="_Toc2157"/>
      <w:bookmarkStart w:id="2503" w:name="_Toc6833"/>
      <w:bookmarkStart w:id="2504" w:name="_Toc6365"/>
      <w:bookmarkStart w:id="2505" w:name="_Toc19977"/>
      <w:bookmarkStart w:id="2506" w:name="_Toc17079"/>
      <w:bookmarkStart w:id="2507" w:name="_Toc4113"/>
      <w:bookmarkStart w:id="2508" w:name="_Toc7605"/>
      <w:bookmarkStart w:id="2509" w:name="_Toc29910"/>
      <w:bookmarkStart w:id="2510" w:name="_Toc29664"/>
      <w:bookmarkStart w:id="2511" w:name="_Toc4546"/>
      <w:bookmarkStart w:id="2512" w:name="_Toc32570"/>
      <w:bookmarkStart w:id="2513" w:name="_Toc10024"/>
      <w:bookmarkStart w:id="2514" w:name="_Toc13851"/>
      <w:bookmarkStart w:id="2515" w:name="_Toc10701"/>
      <w:bookmarkStart w:id="2516" w:name="_Toc3044"/>
      <w:bookmarkStart w:id="2517" w:name="_Toc12058"/>
      <w:bookmarkStart w:id="2518" w:name="_Toc3356"/>
      <w:bookmarkStart w:id="2519" w:name="_Toc26333"/>
      <w:bookmarkStart w:id="2520" w:name="_Toc3204"/>
      <w:bookmarkStart w:id="2521" w:name="_Toc11904"/>
      <w:bookmarkStart w:id="2522" w:name="_Toc22946"/>
      <w:bookmarkStart w:id="2523" w:name="_Toc3968"/>
      <w:bookmarkStart w:id="2524" w:name="_Toc29420"/>
      <w:bookmarkStart w:id="2525" w:name="_Toc31920"/>
      <w:bookmarkStart w:id="2526" w:name="_Toc15091"/>
      <w:bookmarkStart w:id="2527" w:name="_Toc5825"/>
      <w:bookmarkStart w:id="2528" w:name="_Toc566"/>
      <w:bookmarkStart w:id="2529" w:name="_Toc1320"/>
      <w:bookmarkStart w:id="2530" w:name="_Toc24449"/>
      <w:r>
        <w:rPr>
          <w:rFonts w:hint="eastAsia" w:ascii="楷体" w:hAnsi="楷体" w:eastAsia="楷体" w:cs="楷体"/>
          <w:b/>
          <w:bCs/>
          <w:color w:val="000000" w:themeColor="text1"/>
          <w:sz w:val="32"/>
          <w:szCs w:val="32"/>
          <w14:textFill>
            <w14:solidFill>
              <w14:schemeClr w14:val="tx1"/>
            </w14:solidFill>
          </w14:textFill>
        </w:rPr>
        <w:t>第二节 加强关键核心技术攻关</w:t>
      </w:r>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p>
    <w:p>
      <w:pPr>
        <w:pStyle w:val="14"/>
        <w:overflowPunct w:val="0"/>
        <w:spacing w:line="600" w:lineRule="exact"/>
        <w:ind w:firstLine="643" w:firstLineChars="200"/>
        <w:rPr>
          <w:sz w:val="32"/>
          <w:szCs w:val="32"/>
        </w:rPr>
      </w:pPr>
      <w:r>
        <w:rPr>
          <w:rFonts w:hint="eastAsia" w:ascii="仿宋_GB2312" w:eastAsia="仿宋_GB2312" w:hAnsiTheme="minorHAnsi"/>
          <w:b/>
          <w:sz w:val="32"/>
          <w:szCs w:val="32"/>
        </w:rPr>
        <w:t>探索关键核心技术攻关新型举国体制深圳路径。</w:t>
      </w:r>
      <w:r>
        <w:rPr>
          <w:rFonts w:hint="eastAsia" w:ascii="仿宋_GB2312" w:eastAsia="仿宋_GB2312"/>
          <w:sz w:val="32"/>
          <w:szCs w:val="32"/>
        </w:rPr>
        <w:t>瞄准产业链价值链关键环节，充分发挥龙头企业作用，整合优化科技资源配置，</w:t>
      </w:r>
      <w:r>
        <w:rPr>
          <w:rFonts w:hint="eastAsia" w:ascii="仿宋_GB2312" w:eastAsia="仿宋_GB2312"/>
          <w:bCs/>
          <w:sz w:val="32"/>
          <w:szCs w:val="32"/>
        </w:rPr>
        <w:t>构建“政府主导、市场引导、央地协同、多元参与”的组织形式，努力实现更多重大颠覆式创新。聚焦集成电路、关键元器件、工业母机、基础软件等领域实施梯度攻关，突破一批前沿性、引领性、颠覆性技术。探索建立“需求方出题、科技界答题”新机制，</w:t>
      </w:r>
      <w:r>
        <w:rPr>
          <w:rFonts w:hint="eastAsia" w:ascii="仿宋_GB2312" w:eastAsia="仿宋_GB2312" w:cs="仿宋_GB2312"/>
          <w:kern w:val="0"/>
          <w:sz w:val="32"/>
          <w:szCs w:val="32"/>
        </w:rPr>
        <w:t>推动组建若干“创新联合体”，</w:t>
      </w:r>
      <w:r>
        <w:rPr>
          <w:rFonts w:hint="eastAsia" w:ascii="仿宋_GB2312" w:eastAsia="仿宋_GB2312"/>
          <w:bCs/>
          <w:sz w:val="32"/>
          <w:szCs w:val="32"/>
        </w:rPr>
        <w:t>有效整合各部门科技、产业、人才等专项资金，“一技一策”突破关键技术。积极承接国家科技重大专项和重点研发计划。加大军地协同攻关力度，探索先进国防科技协同创新模式。</w:t>
      </w:r>
    </w:p>
    <w:p>
      <w:pPr>
        <w:pStyle w:val="14"/>
        <w:overflowPunct w:val="0"/>
        <w:spacing w:line="600" w:lineRule="exact"/>
        <w:ind w:firstLine="643" w:firstLineChars="200"/>
        <w:rPr>
          <w:rFonts w:ascii="仿宋_GB2312" w:eastAsia="仿宋_GB2312"/>
          <w:bCs/>
          <w:sz w:val="32"/>
          <w:szCs w:val="32"/>
        </w:rPr>
      </w:pPr>
      <w:r>
        <w:rPr>
          <w:rFonts w:hint="eastAsia" w:ascii="仿宋_GB2312" w:hAnsi="Calibri" w:eastAsia="仿宋_GB2312"/>
          <w:b/>
          <w:sz w:val="32"/>
          <w:szCs w:val="32"/>
        </w:rPr>
        <w:t>激发企业技术创新活力。</w:t>
      </w:r>
      <w:r>
        <w:rPr>
          <w:rFonts w:hint="eastAsia" w:ascii="仿宋_GB2312" w:eastAsia="仿宋_GB2312" w:hAnsiTheme="minorHAnsi"/>
          <w:bCs/>
          <w:sz w:val="32"/>
          <w:szCs w:val="32"/>
        </w:rPr>
        <w:t>强化企业创新主体地位，</w:t>
      </w:r>
      <w:r>
        <w:rPr>
          <w:rFonts w:hint="eastAsia" w:ascii="仿宋_GB2312" w:eastAsia="仿宋_GB2312"/>
          <w:bCs/>
          <w:sz w:val="32"/>
          <w:szCs w:val="32"/>
        </w:rPr>
        <w:t>发挥市场对技术研发方向、线路选择、要素价格、创新资源配置的导向作用，</w:t>
      </w:r>
      <w:r>
        <w:rPr>
          <w:rFonts w:hint="eastAsia" w:ascii="仿宋_GB2312" w:hAnsi="Calibri" w:eastAsia="仿宋_GB2312"/>
          <w:bCs/>
          <w:sz w:val="32"/>
          <w:szCs w:val="32"/>
        </w:rPr>
        <w:t>促进各类创新资源要素向企业集聚。</w:t>
      </w:r>
      <w:r>
        <w:rPr>
          <w:rFonts w:hint="eastAsia" w:ascii="仿宋_GB2312" w:eastAsia="仿宋_GB2312"/>
          <w:bCs/>
          <w:sz w:val="32"/>
          <w:szCs w:val="32"/>
        </w:rPr>
        <w:t>支持龙头企业整合上下游创新资源，牵头设立创新联合体，建设若干领域类技术创新中心和工程研究中心，承担国家重大科技项目，开展行业关键共性技术预见研究和联合攻关。推动领军企业研发创新链条前移，鼓励企业成立高水平研究院，加大财政无偿性研发资助力度。实施高新技术企业培育计划，鼓励企业加大研发投入，支持中小企业加速技术迭代改进。</w:t>
      </w:r>
    </w:p>
    <w:p>
      <w:pPr>
        <w:spacing w:after="156" w:afterLines="50" w:line="600" w:lineRule="exact"/>
        <w:ind w:firstLine="643" w:firstLineChars="200"/>
        <w:rPr>
          <w:rFonts w:ascii="仿宋_GB2312" w:hAnsi="Courier New" w:eastAsia="仿宋_GB2312" w:cs="Courier New"/>
          <w:bCs/>
          <w:sz w:val="32"/>
          <w:szCs w:val="32"/>
        </w:rPr>
      </w:pPr>
      <w:r>
        <w:rPr>
          <w:rFonts w:hint="eastAsia" w:ascii="仿宋_GB2312" w:eastAsia="仿宋_GB2312"/>
          <w:b/>
          <w:sz w:val="32"/>
          <w:szCs w:val="32"/>
        </w:rPr>
        <w:t>提升科研机构自主创新能力。</w:t>
      </w:r>
      <w:r>
        <w:rPr>
          <w:rFonts w:hint="eastAsia" w:ascii="仿宋_GB2312" w:eastAsia="仿宋_GB2312"/>
          <w:bCs/>
          <w:sz w:val="32"/>
          <w:szCs w:val="32"/>
        </w:rPr>
        <w:t>支持</w:t>
      </w:r>
      <w:r>
        <w:rPr>
          <w:rFonts w:hint="eastAsia" w:ascii="仿宋_GB2312" w:hAnsi="Courier New" w:eastAsia="仿宋_GB2312" w:cs="Courier New"/>
          <w:bCs/>
          <w:sz w:val="32"/>
          <w:szCs w:val="32"/>
        </w:rPr>
        <w:t>国家级科研院所、大型央企等在深设立研发机构，建设光明科学城中科院基地、电子科技大学（深圳）高等研究院等。推动新型研发机构创新发展，建设一批与市场和产业紧密结合的高水平创新研究院，联合港澳建设一批高端研究机构和创新平台。</w:t>
      </w:r>
    </w:p>
    <w:tbl>
      <w:tblPr>
        <w:tblStyle w:val="28"/>
        <w:tblW w:w="8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8018" w:type="dxa"/>
            <w:vAlign w:val="center"/>
          </w:tcPr>
          <w:p>
            <w:pPr>
              <w:pStyle w:val="43"/>
              <w:overflowPunct w:val="0"/>
              <w:adjustRightInd w:val="0"/>
              <w:snapToGrid w:val="0"/>
              <w:spacing w:line="400" w:lineRule="exact"/>
              <w:ind w:left="-420" w:leftChars="-200" w:firstLine="482"/>
              <w:jc w:val="center"/>
              <w:rPr>
                <w:rFonts w:ascii="宋体" w:hAnsi="宋体" w:cs="宋体"/>
                <w:b/>
                <w:sz w:val="24"/>
              </w:rPr>
            </w:pPr>
            <w:bookmarkStart w:id="2531" w:name="_Toc14753"/>
            <w:bookmarkStart w:id="2532" w:name="_Toc22173"/>
            <w:bookmarkStart w:id="2533" w:name="_Toc24293"/>
            <w:bookmarkStart w:id="2534" w:name="_Toc2643"/>
            <w:bookmarkStart w:id="2535" w:name="_Toc21627"/>
            <w:r>
              <w:rPr>
                <w:rFonts w:hint="eastAsia" w:ascii="宋体" w:hAnsi="宋体" w:cs="宋体"/>
                <w:b/>
                <w:color w:val="000000"/>
                <w:sz w:val="24"/>
                <w:lang w:val="zh-CN"/>
              </w:rPr>
              <w:t>专栏</w:t>
            </w:r>
            <w:r>
              <w:rPr>
                <w:rFonts w:hint="eastAsia" w:ascii="宋体" w:hAnsi="宋体" w:cs="宋体"/>
                <w:b/>
                <w:color w:val="000000"/>
                <w:sz w:val="24"/>
              </w:rPr>
              <w:t>7</w:t>
            </w:r>
            <w:r>
              <w:rPr>
                <w:rFonts w:hint="eastAsia" w:ascii="宋体" w:hAnsi="宋体" w:cs="宋体"/>
                <w:b/>
                <w:color w:val="000000"/>
                <w:sz w:val="24"/>
                <w:lang w:val="zh-CN"/>
              </w:rPr>
              <w:t>：关键核心技术攻关重点领域</w:t>
            </w:r>
          </w:p>
          <w:p>
            <w:pPr>
              <w:pStyle w:val="43"/>
              <w:numPr>
                <w:ilvl w:val="0"/>
                <w:numId w:val="5"/>
              </w:numPr>
              <w:overflowPunct w:val="0"/>
              <w:adjustRightInd w:val="0"/>
              <w:snapToGrid w:val="0"/>
              <w:spacing w:line="400" w:lineRule="exact"/>
              <w:ind w:firstLineChars="0"/>
              <w:rPr>
                <w:rFonts w:ascii="宋体" w:hAnsi="宋体" w:cs="宋体"/>
                <w:bCs/>
                <w:color w:val="000000"/>
                <w:sz w:val="24"/>
              </w:rPr>
            </w:pPr>
            <w:r>
              <w:rPr>
                <w:rFonts w:hint="eastAsia" w:ascii="宋体" w:hAnsi="宋体" w:cs="宋体"/>
                <w:b/>
                <w:color w:val="000000"/>
                <w:sz w:val="24"/>
              </w:rPr>
              <w:t>集成电路：</w:t>
            </w:r>
            <w:r>
              <w:rPr>
                <w:rFonts w:hint="eastAsia" w:ascii="宋体" w:hAnsi="宋体" w:cs="宋体"/>
                <w:bCs/>
                <w:color w:val="000000"/>
                <w:sz w:val="24"/>
              </w:rPr>
              <w:t>重点围绕芯片架构等开展技术攻关，发展绝缘栅双极型晶体管（</w:t>
            </w:r>
            <w:r>
              <w:rPr>
                <w:rFonts w:ascii="宋体" w:hAnsi="宋体" w:cs="宋体"/>
                <w:bCs/>
                <w:color w:val="000000"/>
                <w:sz w:val="24"/>
              </w:rPr>
              <w:t>IGBT）、微机电系统（MEMS）等特色工艺，发展碳化硅等化合物半导体。</w:t>
            </w:r>
          </w:p>
          <w:p>
            <w:pPr>
              <w:pStyle w:val="43"/>
              <w:numPr>
                <w:ilvl w:val="0"/>
                <w:numId w:val="5"/>
              </w:numPr>
              <w:overflowPunct w:val="0"/>
              <w:adjustRightInd w:val="0"/>
              <w:snapToGrid w:val="0"/>
              <w:spacing w:line="400" w:lineRule="exact"/>
              <w:ind w:firstLineChars="0"/>
              <w:rPr>
                <w:rFonts w:ascii="宋体" w:hAnsi="宋体" w:cs="宋体"/>
                <w:b/>
                <w:color w:val="000000"/>
                <w:sz w:val="24"/>
              </w:rPr>
            </w:pPr>
            <w:r>
              <w:rPr>
                <w:rFonts w:hint="eastAsia" w:ascii="宋体" w:hAnsi="宋体" w:cs="宋体"/>
                <w:b/>
                <w:color w:val="000000"/>
                <w:sz w:val="24"/>
              </w:rPr>
              <w:t>量子信息：</w:t>
            </w:r>
            <w:r>
              <w:rPr>
                <w:rFonts w:hint="eastAsia" w:ascii="宋体" w:hAnsi="宋体" w:cs="宋体"/>
                <w:bCs/>
                <w:color w:val="000000"/>
                <w:sz w:val="24"/>
              </w:rPr>
              <w:t>重点围绕未来信息材料、量子计算和模拟、量子精密测量和量子工程应用等领域开展关键技术攻关。</w:t>
            </w:r>
          </w:p>
          <w:p>
            <w:pPr>
              <w:pStyle w:val="43"/>
              <w:numPr>
                <w:ilvl w:val="0"/>
                <w:numId w:val="5"/>
              </w:numPr>
              <w:overflowPunct w:val="0"/>
              <w:adjustRightInd w:val="0"/>
              <w:snapToGrid w:val="0"/>
              <w:spacing w:line="400" w:lineRule="exact"/>
              <w:ind w:firstLineChars="0"/>
              <w:rPr>
                <w:rFonts w:ascii="宋体" w:hAnsi="宋体" w:cs="宋体"/>
                <w:bCs/>
                <w:color w:val="000000"/>
                <w:sz w:val="24"/>
              </w:rPr>
            </w:pPr>
            <w:r>
              <w:rPr>
                <w:rFonts w:hint="eastAsia" w:ascii="宋体" w:hAnsi="宋体" w:cs="宋体"/>
                <w:b/>
                <w:color w:val="000000"/>
                <w:sz w:val="24"/>
              </w:rPr>
              <w:t>生命健康：</w:t>
            </w:r>
            <w:r>
              <w:rPr>
                <w:rFonts w:hint="eastAsia" w:ascii="宋体" w:hAnsi="宋体" w:cs="宋体"/>
                <w:bCs/>
                <w:color w:val="000000"/>
                <w:sz w:val="24"/>
              </w:rPr>
              <w:t>重点围绕药物分子设计、放疗装备、影像设备、高通量基因测序设备、高性能医用机器人制造等领域开展关键技术攻关。</w:t>
            </w:r>
          </w:p>
          <w:p>
            <w:pPr>
              <w:pStyle w:val="43"/>
              <w:numPr>
                <w:ilvl w:val="0"/>
                <w:numId w:val="5"/>
              </w:numPr>
              <w:overflowPunct w:val="0"/>
              <w:adjustRightInd w:val="0"/>
              <w:snapToGrid w:val="0"/>
              <w:spacing w:line="400" w:lineRule="exact"/>
              <w:ind w:firstLineChars="0"/>
              <w:rPr>
                <w:rFonts w:ascii="宋体" w:hAnsi="宋体" w:cs="宋体"/>
                <w:bCs/>
                <w:color w:val="000000"/>
                <w:sz w:val="24"/>
              </w:rPr>
            </w:pPr>
            <w:r>
              <w:rPr>
                <w:rFonts w:hint="eastAsia" w:ascii="宋体" w:hAnsi="宋体" w:cs="宋体"/>
                <w:b/>
                <w:color w:val="000000"/>
                <w:sz w:val="24"/>
              </w:rPr>
              <w:t>脑科学</w:t>
            </w:r>
            <w:r>
              <w:rPr>
                <w:rFonts w:hint="eastAsia" w:ascii="宋体" w:hAnsi="宋体" w:cs="宋体"/>
                <w:bCs/>
                <w:color w:val="000000"/>
                <w:sz w:val="24"/>
              </w:rPr>
              <w:t>：重点围绕脑部疾病潜在机制、认知行为的神经基础、大脑研究的新工具、新技术等领域开展关键技术攻关。</w:t>
            </w:r>
          </w:p>
          <w:p>
            <w:pPr>
              <w:pStyle w:val="43"/>
              <w:numPr>
                <w:ilvl w:val="0"/>
                <w:numId w:val="5"/>
              </w:numPr>
              <w:overflowPunct w:val="0"/>
              <w:adjustRightInd w:val="0"/>
              <w:snapToGrid w:val="0"/>
              <w:spacing w:line="400" w:lineRule="exact"/>
              <w:ind w:firstLineChars="0"/>
              <w:rPr>
                <w:rFonts w:ascii="宋体" w:hAnsi="宋体" w:cs="宋体"/>
                <w:bCs/>
                <w:color w:val="000000"/>
                <w:sz w:val="24"/>
              </w:rPr>
            </w:pPr>
            <w:r>
              <w:rPr>
                <w:rFonts w:hint="eastAsia" w:ascii="宋体" w:hAnsi="宋体" w:cs="宋体"/>
                <w:b/>
                <w:color w:val="000000"/>
                <w:sz w:val="24"/>
              </w:rPr>
              <w:t>临床医学与健康：</w:t>
            </w:r>
            <w:r>
              <w:rPr>
                <w:rFonts w:hint="eastAsia" w:ascii="宋体" w:hAnsi="宋体" w:cs="宋体"/>
                <w:bCs/>
                <w:color w:val="000000"/>
                <w:sz w:val="24"/>
              </w:rPr>
              <w:t>重点围绕癌症、心脑血管、呼吸、代谢性疾病、再生医学、重大传染病、重大慢性非传染性疾病等领域开展关键技术攻关。</w:t>
            </w:r>
          </w:p>
          <w:p>
            <w:pPr>
              <w:pStyle w:val="43"/>
              <w:numPr>
                <w:ilvl w:val="0"/>
                <w:numId w:val="5"/>
              </w:numPr>
              <w:overflowPunct w:val="0"/>
              <w:adjustRightInd w:val="0"/>
              <w:snapToGrid w:val="0"/>
              <w:spacing w:line="400" w:lineRule="exact"/>
              <w:ind w:firstLineChars="0"/>
              <w:rPr>
                <w:rFonts w:ascii="宋体" w:hAnsi="宋体" w:cs="宋体"/>
                <w:b/>
                <w:color w:val="000000"/>
                <w:sz w:val="24"/>
              </w:rPr>
            </w:pPr>
            <w:r>
              <w:rPr>
                <w:rFonts w:hint="eastAsia" w:ascii="宋体" w:hAnsi="宋体" w:cs="宋体"/>
                <w:b/>
                <w:color w:val="000000"/>
                <w:sz w:val="24"/>
              </w:rPr>
              <w:t>生物育种：</w:t>
            </w:r>
            <w:r>
              <w:rPr>
                <w:rFonts w:hint="eastAsia" w:ascii="宋体" w:hAnsi="宋体" w:cs="宋体"/>
                <w:bCs/>
                <w:color w:val="000000"/>
                <w:sz w:val="24"/>
              </w:rPr>
              <w:t>重点围绕组学技术、合成生物学、植物基因组、动物基因组、生态基因组、食品科学等领域开展关键技术攻关。</w:t>
            </w:r>
          </w:p>
          <w:p>
            <w:pPr>
              <w:pStyle w:val="43"/>
              <w:numPr>
                <w:ilvl w:val="0"/>
                <w:numId w:val="5"/>
              </w:numPr>
              <w:overflowPunct w:val="0"/>
              <w:adjustRightInd w:val="0"/>
              <w:snapToGrid w:val="0"/>
              <w:spacing w:line="400" w:lineRule="exact"/>
              <w:ind w:firstLineChars="0"/>
              <w:rPr>
                <w:rFonts w:ascii="宋体" w:hAnsi="宋体" w:cs="宋体"/>
                <w:bCs/>
                <w:color w:val="000000"/>
                <w:sz w:val="24"/>
              </w:rPr>
            </w:pPr>
            <w:r>
              <w:rPr>
                <w:rFonts w:hint="eastAsia" w:ascii="宋体" w:hAnsi="宋体" w:cs="宋体"/>
                <w:b/>
                <w:color w:val="000000"/>
                <w:sz w:val="24"/>
              </w:rPr>
              <w:t>空天科技：</w:t>
            </w:r>
            <w:r>
              <w:rPr>
                <w:rFonts w:hint="eastAsia" w:ascii="宋体" w:hAnsi="宋体" w:cs="宋体"/>
                <w:bCs/>
                <w:color w:val="000000"/>
                <w:sz w:val="24"/>
              </w:rPr>
              <w:t>重点围绕空间探测、卫星导航、卫星遥感、卫星通信、数字空间等领域开展关键技术攻关。</w:t>
            </w:r>
          </w:p>
          <w:p>
            <w:pPr>
              <w:pStyle w:val="43"/>
              <w:numPr>
                <w:ilvl w:val="0"/>
                <w:numId w:val="5"/>
              </w:numPr>
              <w:overflowPunct w:val="0"/>
              <w:adjustRightInd w:val="0"/>
              <w:snapToGrid w:val="0"/>
              <w:spacing w:line="400" w:lineRule="exact"/>
              <w:ind w:firstLineChars="0"/>
              <w:rPr>
                <w:rFonts w:ascii="宋体" w:hAnsi="宋体" w:cs="宋体"/>
                <w:bCs/>
                <w:color w:val="000000"/>
                <w:sz w:val="24"/>
              </w:rPr>
            </w:pPr>
            <w:r>
              <w:rPr>
                <w:rFonts w:hint="eastAsia" w:ascii="宋体" w:hAnsi="宋体" w:cs="宋体"/>
                <w:b/>
                <w:color w:val="000000"/>
                <w:sz w:val="24"/>
              </w:rPr>
              <w:t>深海科技：</w:t>
            </w:r>
            <w:r>
              <w:rPr>
                <w:rFonts w:hint="eastAsia" w:ascii="宋体" w:hAnsi="宋体" w:cs="宋体"/>
                <w:bCs/>
                <w:color w:val="000000"/>
                <w:sz w:val="24"/>
              </w:rPr>
              <w:t>重点围绕海洋科考、深海装备、深海矿产资源开发、深海材料和深海通信等领域开展关键技术攻关。</w:t>
            </w:r>
          </w:p>
        </w:tc>
      </w:tr>
    </w:tbl>
    <w:p>
      <w:pPr>
        <w:spacing w:line="600" w:lineRule="exact"/>
        <w:jc w:val="left"/>
        <w:rPr>
          <w:color w:val="000000" w:themeColor="text1"/>
          <w14:textFill>
            <w14:solidFill>
              <w14:schemeClr w14:val="tx1"/>
            </w14:solidFill>
          </w14:textFill>
        </w:rPr>
      </w:pPr>
      <w:bookmarkStart w:id="2536" w:name="_Toc29898"/>
      <w:bookmarkStart w:id="2537" w:name="_Toc17377"/>
      <w:bookmarkStart w:id="2538" w:name="_Toc5653"/>
      <w:bookmarkStart w:id="2539" w:name="_Toc31228"/>
      <w:bookmarkStart w:id="2540" w:name="_Toc11044"/>
      <w:bookmarkStart w:id="2541" w:name="_Toc10121"/>
      <w:bookmarkStart w:id="2542" w:name="_Toc15552"/>
      <w:bookmarkStart w:id="2543" w:name="_Toc7555"/>
      <w:bookmarkStart w:id="2544" w:name="_Toc29882"/>
      <w:bookmarkStart w:id="2545" w:name="_Toc8932"/>
      <w:bookmarkStart w:id="2546" w:name="_Toc7384"/>
      <w:bookmarkStart w:id="2547" w:name="_Toc12765"/>
      <w:bookmarkStart w:id="2548" w:name="_Toc18619"/>
      <w:bookmarkStart w:id="2549" w:name="_Toc901"/>
      <w:bookmarkStart w:id="2550" w:name="_Toc24285"/>
      <w:bookmarkStart w:id="2551" w:name="_Toc4100"/>
      <w:bookmarkStart w:id="2552" w:name="_Toc13910"/>
      <w:bookmarkStart w:id="2553" w:name="_Toc29609"/>
      <w:bookmarkStart w:id="2554" w:name="_Toc9276"/>
      <w:bookmarkStart w:id="2555" w:name="_Toc25120"/>
      <w:bookmarkStart w:id="2556" w:name="_Toc6913"/>
      <w:bookmarkStart w:id="2557" w:name="_Toc20072"/>
      <w:bookmarkStart w:id="2558" w:name="_Toc19693"/>
      <w:bookmarkStart w:id="2559" w:name="_Toc25971"/>
      <w:bookmarkStart w:id="2560" w:name="_Toc20907"/>
      <w:bookmarkStart w:id="2561" w:name="_Toc30157"/>
      <w:bookmarkStart w:id="2562" w:name="_Toc7238"/>
      <w:bookmarkStart w:id="2563" w:name="_Toc3322"/>
      <w:bookmarkStart w:id="2564" w:name="_Toc31471"/>
      <w:bookmarkStart w:id="2565" w:name="_Toc15179"/>
      <w:bookmarkStart w:id="2566" w:name="_Toc1059"/>
      <w:bookmarkStart w:id="2567" w:name="_Toc25989"/>
      <w:bookmarkStart w:id="2568" w:name="_Toc16679"/>
      <w:bookmarkStart w:id="2569" w:name="_Toc11164"/>
      <w:bookmarkStart w:id="2570" w:name="_Toc9473"/>
      <w:bookmarkStart w:id="2571" w:name="_Toc9425"/>
      <w:bookmarkStart w:id="2572" w:name="_Toc21870"/>
      <w:bookmarkStart w:id="2573" w:name="_Toc28959"/>
      <w:bookmarkStart w:id="2574" w:name="_Toc1014"/>
      <w:bookmarkStart w:id="2575" w:name="_Toc15781"/>
      <w:bookmarkStart w:id="2576" w:name="_Toc28087"/>
      <w:bookmarkStart w:id="2577" w:name="_Toc15648"/>
      <w:bookmarkStart w:id="2578" w:name="_Toc1782"/>
      <w:bookmarkStart w:id="2579" w:name="_Toc2292"/>
      <w:bookmarkStart w:id="2580" w:name="_Toc31656"/>
      <w:bookmarkStart w:id="2581" w:name="_Toc30202"/>
      <w:bookmarkStart w:id="2582" w:name="_Toc9317"/>
      <w:bookmarkStart w:id="2583" w:name="_Toc13553"/>
      <w:bookmarkStart w:id="2584" w:name="_Toc30747"/>
      <w:bookmarkStart w:id="2585" w:name="_Toc25392"/>
      <w:bookmarkStart w:id="2586" w:name="_Toc3637"/>
      <w:bookmarkStart w:id="2587" w:name="_Toc2382"/>
      <w:bookmarkStart w:id="2588" w:name="_Toc14194"/>
      <w:bookmarkStart w:id="2589" w:name="_Toc4195"/>
      <w:bookmarkStart w:id="2590" w:name="_Toc13385"/>
      <w:bookmarkStart w:id="2591" w:name="_Toc4704"/>
      <w:bookmarkStart w:id="2592" w:name="_Toc30662"/>
      <w:bookmarkStart w:id="2593" w:name="_Toc12275"/>
      <w:bookmarkStart w:id="2594" w:name="_Toc32117"/>
      <w:bookmarkStart w:id="2595" w:name="_Toc17028"/>
      <w:bookmarkStart w:id="2596" w:name="_Toc1222"/>
      <w:bookmarkStart w:id="2597" w:name="_Toc4726"/>
      <w:bookmarkStart w:id="2598" w:name="_Toc20388"/>
      <w:bookmarkStart w:id="2599" w:name="_Toc26144"/>
      <w:bookmarkStart w:id="2600" w:name="_Toc13117"/>
      <w:bookmarkStart w:id="2601" w:name="_Toc20039"/>
      <w:bookmarkStart w:id="2602" w:name="_Toc6433"/>
    </w:p>
    <w:p>
      <w:pPr>
        <w:spacing w:line="600" w:lineRule="exact"/>
        <w:jc w:val="center"/>
        <w:outlineLvl w:val="2"/>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第三节 深化科技供给侧结构性改革</w:t>
      </w:r>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p>
    <w:p>
      <w:pPr>
        <w:pStyle w:val="2"/>
        <w:spacing w:after="0" w:line="600" w:lineRule="exact"/>
        <w:ind w:firstLine="643" w:firstLineChars="200"/>
        <w:rPr>
          <w:rFonts w:ascii="仿宋_GB2312" w:eastAsia="仿宋_GB2312"/>
          <w:bCs/>
          <w:sz w:val="32"/>
          <w:szCs w:val="32"/>
        </w:rPr>
      </w:pPr>
      <w:r>
        <w:rPr>
          <w:rFonts w:hint="eastAsia" w:ascii="仿宋_GB2312" w:eastAsia="仿宋_GB2312"/>
          <w:b/>
          <w:sz w:val="32"/>
          <w:szCs w:val="32"/>
        </w:rPr>
        <w:t>深化科研项目管理改革。</w:t>
      </w:r>
      <w:r>
        <w:rPr>
          <w:rFonts w:hint="eastAsia" w:ascii="仿宋_GB2312" w:eastAsia="仿宋_GB2312"/>
          <w:bCs/>
          <w:sz w:val="32"/>
          <w:szCs w:val="32"/>
        </w:rPr>
        <w:t>改革科研项目立项和组织方式，建立充分发挥市场化优势、技术链和价值链有机结合的项目遴选、经费分配、成果评价机制。加强政府在科研领域的主动布局，实行“揭榜挂帅”“赛马式资助”“里程碑式考核”等制度，探索以悬赏方式组织项目。扩大高等院校学术自主权和科研人员选题权，依托高水平创新载体直接组织项目。完善重大科技计划项目评审“主审制”，推行科研项目分类管理试点，针对中长期基础类、前沿类、颠覆性技术创新项目，建立创新失败容忍机制。</w:t>
      </w:r>
    </w:p>
    <w:p>
      <w:pPr>
        <w:pStyle w:val="2"/>
        <w:spacing w:after="0" w:line="600" w:lineRule="exact"/>
        <w:ind w:firstLine="640"/>
        <w:rPr>
          <w:rFonts w:ascii="仿宋_GB2312" w:eastAsia="仿宋_GB2312"/>
          <w:bCs/>
          <w:sz w:val="32"/>
          <w:szCs w:val="32"/>
        </w:rPr>
      </w:pPr>
      <w:r>
        <w:rPr>
          <w:rFonts w:hint="eastAsia" w:ascii="仿宋_GB2312" w:eastAsia="仿宋_GB2312"/>
          <w:b/>
          <w:sz w:val="32"/>
          <w:szCs w:val="32"/>
        </w:rPr>
        <w:t>创新</w:t>
      </w:r>
      <w:r>
        <w:rPr>
          <w:rFonts w:ascii="仿宋_GB2312" w:eastAsia="仿宋_GB2312"/>
          <w:b/>
          <w:sz w:val="32"/>
          <w:szCs w:val="32"/>
        </w:rPr>
        <w:t>科技投入方式</w:t>
      </w:r>
      <w:r>
        <w:rPr>
          <w:rFonts w:hint="eastAsia" w:ascii="仿宋_GB2312" w:eastAsia="仿宋_GB2312"/>
          <w:b/>
          <w:sz w:val="32"/>
          <w:szCs w:val="32"/>
        </w:rPr>
        <w:t>。</w:t>
      </w:r>
      <w:r>
        <w:rPr>
          <w:rFonts w:hint="eastAsia" w:ascii="仿宋_GB2312" w:eastAsia="仿宋_GB2312"/>
          <w:bCs/>
          <w:sz w:val="32"/>
          <w:szCs w:val="32"/>
        </w:rPr>
        <w:t>制定实施基础研究十年行动计划，加大对基础前沿研究支持，完善基础研究长期稳定持续投入机制，确保每年基础研究资金投入不低于市级科研资金的</w:t>
      </w:r>
      <w:r>
        <w:rPr>
          <w:rFonts w:ascii="仿宋_GB2312" w:eastAsia="仿宋_GB2312"/>
          <w:bCs/>
          <w:sz w:val="32"/>
          <w:szCs w:val="32"/>
        </w:rPr>
        <w:t>30%</w:t>
      </w:r>
      <w:r>
        <w:rPr>
          <w:rFonts w:hint="eastAsia" w:ascii="仿宋_GB2312" w:eastAsia="仿宋_GB2312"/>
          <w:bCs/>
          <w:sz w:val="32"/>
          <w:szCs w:val="32"/>
        </w:rPr>
        <w:t>。健全政府投入为主、社会多渠道投入机制，深入实施政企联动机制，对已获企业投资的科研院所开展的基础研究、应用基础研究和技术开发项目，实行便利化财政跟投。</w:t>
      </w:r>
      <w:r>
        <w:rPr>
          <w:rFonts w:ascii="仿宋_GB2312" w:eastAsia="仿宋_GB2312"/>
          <w:bCs/>
          <w:sz w:val="32"/>
          <w:szCs w:val="32"/>
        </w:rPr>
        <w:t>完善非竞争性拨款、竞争性拨款</w:t>
      </w:r>
      <w:r>
        <w:rPr>
          <w:rFonts w:hint="eastAsia" w:ascii="仿宋_GB2312" w:eastAsia="仿宋_GB2312"/>
          <w:bCs/>
          <w:sz w:val="32"/>
          <w:szCs w:val="32"/>
        </w:rPr>
        <w:t>“</w:t>
      </w:r>
      <w:r>
        <w:rPr>
          <w:rFonts w:ascii="仿宋_GB2312" w:eastAsia="仿宋_GB2312"/>
          <w:bCs/>
          <w:sz w:val="32"/>
          <w:szCs w:val="32"/>
        </w:rPr>
        <w:t>双轨制</w:t>
      </w:r>
      <w:r>
        <w:rPr>
          <w:rFonts w:hint="eastAsia" w:ascii="仿宋_GB2312" w:eastAsia="仿宋_GB2312"/>
          <w:bCs/>
          <w:sz w:val="32"/>
          <w:szCs w:val="32"/>
        </w:rPr>
        <w:t>”</w:t>
      </w:r>
      <w:r>
        <w:rPr>
          <w:rFonts w:ascii="仿宋_GB2312" w:eastAsia="仿宋_GB2312"/>
          <w:bCs/>
          <w:sz w:val="32"/>
          <w:szCs w:val="32"/>
        </w:rPr>
        <w:t>的科研拨款模式</w:t>
      </w:r>
      <w:r>
        <w:rPr>
          <w:rFonts w:hint="eastAsia" w:ascii="仿宋_GB2312" w:eastAsia="仿宋_GB2312"/>
          <w:bCs/>
          <w:sz w:val="32"/>
          <w:szCs w:val="32"/>
        </w:rPr>
        <w:t>，建立事后奖励、科技悬赏等创新投入方式。探索</w:t>
      </w:r>
      <w:r>
        <w:rPr>
          <w:rFonts w:ascii="仿宋_GB2312" w:eastAsia="仿宋_GB2312"/>
          <w:bCs/>
          <w:sz w:val="32"/>
          <w:szCs w:val="32"/>
        </w:rPr>
        <w:t>实施科研项目经费使用</w:t>
      </w:r>
      <w:r>
        <w:rPr>
          <w:rFonts w:hint="eastAsia" w:ascii="仿宋_GB2312" w:eastAsia="仿宋_GB2312"/>
          <w:bCs/>
          <w:sz w:val="32"/>
          <w:szCs w:val="32"/>
        </w:rPr>
        <w:t>“</w:t>
      </w:r>
      <w:r>
        <w:rPr>
          <w:rFonts w:ascii="仿宋_GB2312" w:eastAsia="仿宋_GB2312"/>
          <w:bCs/>
          <w:sz w:val="32"/>
          <w:szCs w:val="32"/>
        </w:rPr>
        <w:t>包干制</w:t>
      </w:r>
      <w:r>
        <w:rPr>
          <w:rFonts w:hint="eastAsia" w:ascii="仿宋_GB2312" w:eastAsia="仿宋_GB2312"/>
          <w:bCs/>
          <w:sz w:val="32"/>
          <w:szCs w:val="32"/>
        </w:rPr>
        <w:t>”</w:t>
      </w:r>
      <w:r>
        <w:rPr>
          <w:rFonts w:ascii="仿宋_GB2312" w:eastAsia="仿宋_GB2312"/>
          <w:bCs/>
          <w:sz w:val="32"/>
          <w:szCs w:val="32"/>
        </w:rPr>
        <w:t>改革，简化高校和科研院所科研仪器设备采购流程</w:t>
      </w:r>
      <w:r>
        <w:rPr>
          <w:rFonts w:hint="eastAsia" w:ascii="仿宋_GB2312" w:eastAsia="仿宋_GB2312"/>
          <w:bCs/>
          <w:sz w:val="32"/>
          <w:szCs w:val="32"/>
        </w:rPr>
        <w:t>。</w:t>
      </w:r>
    </w:p>
    <w:p>
      <w:pPr>
        <w:pStyle w:val="2"/>
        <w:spacing w:after="0" w:line="600" w:lineRule="exact"/>
        <w:ind w:firstLine="643" w:firstLineChars="200"/>
        <w:rPr>
          <w:rFonts w:ascii="Times New Roman" w:hAnsi="Times New Roman" w:eastAsia="仿宋_GB2312"/>
          <w:sz w:val="32"/>
        </w:rPr>
      </w:pPr>
      <w:r>
        <w:rPr>
          <w:rFonts w:ascii="仿宋_GB2312" w:eastAsia="仿宋_GB2312" w:hAnsiTheme="minorHAnsi"/>
          <w:b/>
          <w:sz w:val="32"/>
          <w:szCs w:val="32"/>
        </w:rPr>
        <w:t>健全科技成果</w:t>
      </w:r>
      <w:r>
        <w:rPr>
          <w:rFonts w:hint="eastAsia" w:ascii="仿宋_GB2312" w:eastAsia="仿宋_GB2312" w:hAnsiTheme="minorHAnsi"/>
          <w:b/>
          <w:sz w:val="32"/>
          <w:szCs w:val="32"/>
        </w:rPr>
        <w:t>产业化</w:t>
      </w:r>
      <w:r>
        <w:rPr>
          <w:rFonts w:ascii="仿宋_GB2312" w:eastAsia="仿宋_GB2312" w:hAnsiTheme="minorHAnsi"/>
          <w:b/>
          <w:sz w:val="32"/>
          <w:szCs w:val="32"/>
        </w:rPr>
        <w:t>机制</w:t>
      </w:r>
      <w:r>
        <w:rPr>
          <w:rFonts w:hint="eastAsia" w:ascii="仿宋_GB2312" w:eastAsia="仿宋_GB2312"/>
          <w:b/>
          <w:sz w:val="32"/>
          <w:szCs w:val="32"/>
        </w:rPr>
        <w:t>。</w:t>
      </w:r>
      <w:r>
        <w:rPr>
          <w:rFonts w:hint="eastAsia" w:ascii="仿宋_GB2312" w:hAnsi="仿宋_GB2312" w:eastAsia="仿宋_GB2312" w:cs="仿宋_GB2312"/>
          <w:sz w:val="32"/>
          <w:szCs w:val="32"/>
        </w:rPr>
        <w:t>健全职务科技成果产权制度，开展科技成果权属改革试点，赋予科研人员职务科技成果所有权或者长期使用权，完善科研成果转化利益分配机制。培育发展技术转移机构和</w:t>
      </w:r>
      <w:r>
        <w:rPr>
          <w:rFonts w:hint="eastAsia" w:ascii="仿宋_GB2312" w:hAnsi="仿宋_GB2312" w:eastAsia="仿宋_GB2312" w:cs="仿宋_GB2312"/>
          <w:color w:val="000000"/>
          <w:sz w:val="32"/>
          <w:szCs w:val="32"/>
        </w:rPr>
        <w:t>复</w:t>
      </w:r>
      <w:r>
        <w:rPr>
          <w:rFonts w:hint="eastAsia" w:ascii="仿宋_GB2312" w:hAnsi="仿宋_GB2312" w:eastAsia="仿宋_GB2312" w:cs="仿宋_GB2312"/>
          <w:sz w:val="32"/>
          <w:szCs w:val="32"/>
        </w:rPr>
        <w:t>合型技术经理团队，制定技术转移激励政策，</w:t>
      </w:r>
      <w:r>
        <w:rPr>
          <w:rFonts w:hint="eastAsia" w:ascii="仿宋_GB2312" w:eastAsia="仿宋_GB2312"/>
          <w:bCs/>
          <w:sz w:val="32"/>
          <w:szCs w:val="32"/>
        </w:rPr>
        <w:t>加快国家技术转移南方中心建设，</w:t>
      </w:r>
      <w:r>
        <w:rPr>
          <w:rFonts w:hint="eastAsia" w:ascii="仿宋_GB2312" w:hAnsi="仿宋_GB2312" w:eastAsia="仿宋_GB2312" w:cs="仿宋_GB2312"/>
          <w:sz w:val="32"/>
          <w:szCs w:val="32"/>
        </w:rPr>
        <w:t>推动技术转移机构“提质培优”。</w:t>
      </w:r>
      <w:r>
        <w:rPr>
          <w:rFonts w:hint="eastAsia" w:ascii="仿宋_GB2312" w:eastAsia="仿宋_GB2312"/>
          <w:bCs/>
          <w:sz w:val="32"/>
          <w:szCs w:val="32"/>
        </w:rPr>
        <w:t>完善转化应用公共服务平台体系，加强应用场景建设，打造一批贴近市场需要的概念验证中心、中小试转化基地。集中布局一批以企业为主体的科技成果转化基地，</w:t>
      </w:r>
      <w:r>
        <w:rPr>
          <w:rFonts w:hint="eastAsia" w:ascii="仿宋_GB2312" w:eastAsia="仿宋_GB2312"/>
          <w:sz w:val="32"/>
          <w:szCs w:val="32"/>
        </w:rPr>
        <w:t>构建“众创空间-孵化器-加速器-科技园”全链条孵化育成体系。推进“科创中国”试点城市建设，促进科技经济深度融合。</w:t>
      </w:r>
    </w:p>
    <w:p>
      <w:pPr>
        <w:pStyle w:val="2"/>
        <w:spacing w:after="0" w:line="600" w:lineRule="exact"/>
        <w:ind w:firstLine="643" w:firstLineChars="200"/>
        <w:rPr>
          <w:rFonts w:ascii="仿宋_GB2312" w:eastAsia="仿宋_GB2312"/>
          <w:bCs/>
          <w:sz w:val="32"/>
          <w:szCs w:val="32"/>
        </w:rPr>
      </w:pPr>
      <w:r>
        <w:rPr>
          <w:rFonts w:hint="eastAsia" w:ascii="仿宋_GB2312" w:eastAsia="仿宋_GB2312" w:hAnsiTheme="minorHAnsi"/>
          <w:b/>
          <w:sz w:val="32"/>
          <w:szCs w:val="32"/>
        </w:rPr>
        <w:t>加强科技治理能力建设</w:t>
      </w:r>
      <w:r>
        <w:rPr>
          <w:rFonts w:ascii="仿宋_GB2312" w:eastAsia="仿宋_GB2312" w:hAnsiTheme="minorHAnsi"/>
          <w:b/>
          <w:sz w:val="32"/>
          <w:szCs w:val="32"/>
        </w:rPr>
        <w:t>。</w:t>
      </w:r>
      <w:r>
        <w:rPr>
          <w:rFonts w:hint="eastAsia" w:ascii="仿宋_GB2312" w:eastAsia="仿宋_GB2312"/>
          <w:bCs/>
          <w:sz w:val="32"/>
          <w:szCs w:val="32"/>
        </w:rPr>
        <w:t>加强科技伦理规范体系和监管体系建设，推进科技伦理监管立法，建立健全科技人员自律机制。完善科研机构管理机制，建立常态化政企科技创新咨询制度，完善科技决策咨询系统，推动专业化、品牌化科技创新智库建设。完善科技创新评价体系，推进科研诚信体系建设，构建科技创新容错机制。</w:t>
      </w:r>
      <w:r>
        <w:rPr>
          <w:rFonts w:hint="eastAsia" w:ascii="仿宋_GB2312" w:eastAsia="仿宋_GB2312" w:hAnsiTheme="minorHAnsi" w:cstheme="minorBidi"/>
          <w:bCs/>
          <w:sz w:val="32"/>
          <w:szCs w:val="32"/>
        </w:rPr>
        <w:t>厚植科技创新文化，加强科普宣传，</w:t>
      </w:r>
      <w:r>
        <w:rPr>
          <w:rFonts w:hint="eastAsia" w:ascii="仿宋_GB2312" w:eastAsia="仿宋_GB2312"/>
          <w:bCs/>
          <w:sz w:val="32"/>
          <w:szCs w:val="32"/>
        </w:rPr>
        <w:t>弘扬科学精神，营造诚实守信、追求真理、崇尚创新、鼓励探索、宽容失败等良好学术氛围。</w:t>
      </w:r>
    </w:p>
    <w:p>
      <w:pPr>
        <w:spacing w:line="600" w:lineRule="exact"/>
      </w:pPr>
    </w:p>
    <w:p>
      <w:pPr>
        <w:spacing w:line="600" w:lineRule="exact"/>
        <w:jc w:val="center"/>
        <w:outlineLvl w:val="2"/>
        <w:rPr>
          <w:rFonts w:ascii="楷体" w:hAnsi="楷体" w:eastAsia="楷体" w:cs="楷体"/>
          <w:b/>
          <w:bCs/>
          <w:color w:val="000000" w:themeColor="text1"/>
          <w:sz w:val="32"/>
          <w:szCs w:val="32"/>
          <w14:textFill>
            <w14:solidFill>
              <w14:schemeClr w14:val="tx1"/>
            </w14:solidFill>
          </w14:textFill>
        </w:rPr>
      </w:pPr>
      <w:bookmarkStart w:id="2603" w:name="_Toc26136"/>
      <w:bookmarkStart w:id="2604" w:name="_Toc17140"/>
      <w:bookmarkStart w:id="2605" w:name="_Toc28963"/>
      <w:bookmarkStart w:id="2606" w:name="_Toc1288"/>
      <w:bookmarkStart w:id="2607" w:name="_Toc13601"/>
      <w:bookmarkStart w:id="2608" w:name="_Toc30352"/>
      <w:bookmarkStart w:id="2609" w:name="_Toc13404"/>
      <w:bookmarkStart w:id="2610" w:name="_Toc24706"/>
      <w:bookmarkStart w:id="2611" w:name="_Toc9115"/>
      <w:bookmarkStart w:id="2612" w:name="_Toc690"/>
      <w:bookmarkStart w:id="2613" w:name="_Toc25687"/>
      <w:bookmarkStart w:id="2614" w:name="_Toc21746"/>
      <w:bookmarkStart w:id="2615" w:name="_Toc2703"/>
      <w:bookmarkStart w:id="2616" w:name="_Toc18544"/>
      <w:bookmarkStart w:id="2617" w:name="_Toc11890"/>
      <w:bookmarkStart w:id="2618" w:name="_Toc2869"/>
      <w:bookmarkStart w:id="2619" w:name="_Toc14302"/>
      <w:bookmarkStart w:id="2620" w:name="_Toc20559"/>
      <w:bookmarkStart w:id="2621" w:name="_Toc23835"/>
      <w:bookmarkStart w:id="2622" w:name="_Toc1324"/>
      <w:bookmarkStart w:id="2623" w:name="_Toc13559"/>
      <w:bookmarkStart w:id="2624" w:name="_Toc25103"/>
      <w:bookmarkStart w:id="2625" w:name="_Toc15968"/>
      <w:bookmarkStart w:id="2626" w:name="_Toc1678"/>
      <w:bookmarkStart w:id="2627" w:name="_Toc28229"/>
      <w:bookmarkStart w:id="2628" w:name="_Toc39"/>
      <w:bookmarkStart w:id="2629" w:name="_Toc19802"/>
      <w:bookmarkStart w:id="2630" w:name="_Toc15888"/>
      <w:bookmarkStart w:id="2631" w:name="_Toc30819"/>
      <w:bookmarkStart w:id="2632" w:name="_Toc22574"/>
      <w:bookmarkStart w:id="2633" w:name="_Toc26974"/>
      <w:bookmarkStart w:id="2634" w:name="_Toc10435"/>
      <w:bookmarkStart w:id="2635" w:name="_Toc30606"/>
      <w:bookmarkStart w:id="2636" w:name="_Toc17461"/>
      <w:bookmarkStart w:id="2637" w:name="_Toc18649"/>
      <w:bookmarkStart w:id="2638" w:name="_Toc32080"/>
      <w:bookmarkStart w:id="2639" w:name="_Toc26281"/>
      <w:bookmarkStart w:id="2640" w:name="_Toc3188"/>
      <w:bookmarkStart w:id="2641" w:name="_Toc19418"/>
      <w:bookmarkStart w:id="2642" w:name="_Toc21677"/>
      <w:bookmarkStart w:id="2643" w:name="_Toc1943"/>
      <w:bookmarkStart w:id="2644" w:name="_Toc24546"/>
      <w:bookmarkStart w:id="2645" w:name="_Toc4569"/>
      <w:bookmarkStart w:id="2646" w:name="_Toc5408"/>
      <w:bookmarkStart w:id="2647" w:name="_Toc3180"/>
      <w:bookmarkStart w:id="2648" w:name="_Toc32229"/>
      <w:bookmarkStart w:id="2649" w:name="_Toc19649"/>
      <w:bookmarkStart w:id="2650" w:name="_Toc15294"/>
      <w:bookmarkStart w:id="2651" w:name="_Toc28674"/>
      <w:bookmarkStart w:id="2652" w:name="_Toc6523"/>
      <w:bookmarkStart w:id="2653" w:name="_Toc19005"/>
      <w:bookmarkStart w:id="2654" w:name="_Toc28772"/>
      <w:bookmarkStart w:id="2655" w:name="_Toc26082"/>
      <w:bookmarkStart w:id="2656" w:name="_Toc29643"/>
      <w:bookmarkStart w:id="2657" w:name="_Toc16688"/>
      <w:bookmarkStart w:id="2658" w:name="_Toc31116"/>
      <w:bookmarkStart w:id="2659" w:name="_Toc27724"/>
      <w:bookmarkStart w:id="2660" w:name="_Toc14851"/>
      <w:bookmarkStart w:id="2661" w:name="_Toc22797"/>
      <w:bookmarkStart w:id="2662" w:name="_Toc5697"/>
      <w:bookmarkStart w:id="2663" w:name="_Toc23842"/>
      <w:bookmarkStart w:id="2664" w:name="_Toc9684"/>
      <w:bookmarkStart w:id="2665" w:name="_Toc13480"/>
      <w:bookmarkStart w:id="2666" w:name="_Toc14946"/>
      <w:bookmarkStart w:id="2667" w:name="_Toc15115"/>
      <w:bookmarkStart w:id="2668" w:name="_Toc6263"/>
      <w:bookmarkStart w:id="2669" w:name="_Toc10906"/>
      <w:bookmarkStart w:id="2670" w:name="_Toc24060"/>
      <w:bookmarkStart w:id="2671" w:name="_Toc16279"/>
      <w:bookmarkStart w:id="2672" w:name="_Toc303"/>
      <w:bookmarkStart w:id="2673" w:name="_Toc7139"/>
      <w:bookmarkStart w:id="2674" w:name="_Toc28957"/>
      <w:r>
        <w:rPr>
          <w:rFonts w:hint="eastAsia" w:ascii="楷体" w:hAnsi="楷体" w:eastAsia="楷体" w:cs="楷体"/>
          <w:b/>
          <w:bCs/>
          <w:color w:val="000000" w:themeColor="text1"/>
          <w:sz w:val="32"/>
          <w:szCs w:val="32"/>
          <w14:textFill>
            <w14:solidFill>
              <w14:schemeClr w14:val="tx1"/>
            </w14:solidFill>
          </w14:textFill>
        </w:rPr>
        <w:t>第四节 提升科技创新开放协同水平</w:t>
      </w:r>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p>
    <w:p>
      <w:pPr>
        <w:overflowPunct w:val="0"/>
        <w:adjustRightInd w:val="0"/>
        <w:snapToGrid w:val="0"/>
        <w:spacing w:line="600" w:lineRule="exact"/>
        <w:ind w:firstLine="643" w:firstLineChars="200"/>
        <w:textAlignment w:val="baseline"/>
        <w:rPr>
          <w:rFonts w:ascii="仿宋_GB2312" w:hAnsi="仿宋_GB2312" w:eastAsia="仿宋_GB2312" w:cs="仿宋_GB2312"/>
          <w:sz w:val="32"/>
          <w:szCs w:val="32"/>
        </w:rPr>
      </w:pPr>
      <w:r>
        <w:rPr>
          <w:rStyle w:val="37"/>
          <w:rFonts w:hint="eastAsia" w:ascii="仿宋_GB2312" w:hAnsi="仿宋_GB2312" w:eastAsia="仿宋_GB2312" w:cs="仿宋_GB2312"/>
          <w:b/>
          <w:sz w:val="32"/>
          <w:szCs w:val="32"/>
        </w:rPr>
        <w:t>共建广深港澳科技创新走廊。</w:t>
      </w:r>
      <w:r>
        <w:rPr>
          <w:rFonts w:ascii="仿宋_GB2312" w:hAnsi="仿宋_GB2312" w:eastAsia="仿宋_GB2312" w:cs="仿宋_GB2312"/>
          <w:sz w:val="32"/>
          <w:szCs w:val="32"/>
        </w:rPr>
        <w:t>加强深港澳产学研协同发展，增强河套深港科技创新合作区的科技创新极点作用。探索促进创新要素跨境流动和区域融通的政策举措，深化深港澳创新孵化、科技金融、成果转化、技术转让、科技服务等领域合作。建立健全科技创新合作机制，加强科技创新政策协同，建立跨区域实验室群组，共同推动重大科技基础设施、重要科研机构和重大创新平台共建共享、信息互通。实施深港澳科技计划项目，推动深港澳创新主体联合攻关。</w:t>
      </w:r>
    </w:p>
    <w:p>
      <w:pPr>
        <w:overflowPunct w:val="0"/>
        <w:adjustRightInd w:val="0"/>
        <w:snapToGrid w:val="0"/>
        <w:spacing w:line="600" w:lineRule="exact"/>
        <w:ind w:firstLine="643" w:firstLineChars="200"/>
        <w:textAlignment w:val="baseline"/>
        <w:rPr>
          <w:rFonts w:ascii="仿宋_GB2312" w:hAnsi="仿宋_GB2312" w:eastAsia="仿宋_GB2312" w:cs="仿宋_GB2312"/>
          <w:bCs/>
          <w:sz w:val="32"/>
          <w:szCs w:val="32"/>
        </w:rPr>
      </w:pPr>
      <w:r>
        <w:rPr>
          <w:rStyle w:val="37"/>
          <w:rFonts w:hint="eastAsia" w:ascii="仿宋_GB2312" w:hAnsi="仿宋_GB2312" w:eastAsia="仿宋_GB2312" w:cs="仿宋_GB2312"/>
          <w:b/>
          <w:sz w:val="32"/>
          <w:szCs w:val="32"/>
        </w:rPr>
        <w:t>主动融入全球创新网络。</w:t>
      </w:r>
      <w:r>
        <w:rPr>
          <w:rFonts w:hint="eastAsia" w:ascii="仿宋_GB2312" w:hAnsi="仿宋_GB2312" w:eastAsia="仿宋_GB2312" w:cs="仿宋_GB2312"/>
          <w:sz w:val="32"/>
          <w:szCs w:val="32"/>
        </w:rPr>
        <w:t>积极承担或参与国际大科学计划和大科学工程，举办国际大型科技论坛。</w:t>
      </w:r>
      <w:r>
        <w:rPr>
          <w:rFonts w:hint="eastAsia" w:ascii="仿宋_GB2312" w:hAnsi="仿宋_GB2312" w:eastAsia="仿宋_GB2312" w:cs="仿宋_GB2312"/>
          <w:bCs/>
          <w:sz w:val="32"/>
          <w:szCs w:val="32"/>
        </w:rPr>
        <w:t>发起成立世界创新城市合作组织，探索深圳与全球创新领先城市和国际友城间创新合作机制</w:t>
      </w:r>
      <w:r>
        <w:rPr>
          <w:rFonts w:hint="eastAsia" w:ascii="仿宋_GB2312" w:hAnsi="仿宋_GB2312" w:eastAsia="仿宋_GB2312" w:cs="仿宋_GB2312"/>
          <w:sz w:val="32"/>
        </w:rPr>
        <w:t>，</w:t>
      </w:r>
      <w:r>
        <w:rPr>
          <w:rFonts w:hint="eastAsia" w:ascii="仿宋_GB2312" w:hAnsi="仿宋_GB2312" w:eastAsia="仿宋_GB2312" w:cs="仿宋_GB2312"/>
          <w:bCs/>
          <w:sz w:val="32"/>
          <w:szCs w:val="32"/>
        </w:rPr>
        <w:t>支持国际一流高校在深设立研究机构。支持企业在境外设立研发机构，共建科技合作园区、技术转移中心等平台。</w:t>
      </w:r>
    </w:p>
    <w:p>
      <w:pPr>
        <w:overflowPunct w:val="0"/>
        <w:adjustRightInd w:val="0"/>
        <w:snapToGrid w:val="0"/>
        <w:spacing w:line="600" w:lineRule="exact"/>
        <w:ind w:firstLine="643" w:firstLineChars="200"/>
        <w:textAlignment w:val="baseline"/>
        <w:rPr>
          <w:rFonts w:ascii="仿宋_GB2312" w:hAnsi="仿宋_GB2312" w:eastAsia="仿宋_GB2312" w:cs="仿宋_GB2312"/>
          <w:sz w:val="32"/>
          <w:szCs w:val="32"/>
        </w:rPr>
      </w:pPr>
      <w:r>
        <w:rPr>
          <w:rStyle w:val="37"/>
          <w:rFonts w:hint="eastAsia" w:ascii="仿宋_GB2312" w:hAnsi="仿宋_GB2312" w:eastAsia="仿宋_GB2312" w:cs="仿宋_GB2312"/>
          <w:b/>
          <w:sz w:val="32"/>
          <w:szCs w:val="32"/>
        </w:rPr>
        <w:t>构筑全域创新发展空间格局。</w:t>
      </w:r>
      <w:r>
        <w:rPr>
          <w:rStyle w:val="37"/>
          <w:rFonts w:hint="eastAsia" w:ascii="仿宋_GB2312" w:hAnsi="仿宋_GB2312" w:eastAsia="仿宋_GB2312" w:cs="仿宋_GB2312"/>
          <w:bCs/>
          <w:sz w:val="32"/>
          <w:szCs w:val="32"/>
        </w:rPr>
        <w:t>实施一流高新区建设行动，制定高新区高质量发展的政策措施，</w:t>
      </w:r>
      <w:r>
        <w:rPr>
          <w:rFonts w:hint="eastAsia" w:ascii="仿宋_GB2312" w:hAnsi="仿宋_GB2312" w:eastAsia="仿宋_GB2312" w:cs="仿宋_GB2312"/>
          <w:sz w:val="32"/>
          <w:szCs w:val="32"/>
        </w:rPr>
        <w:t>打造世界一流高科技园区。高水准建设各具特色的高新园区，重点推进南山园区和坪山园区两个核心园区建设，推动“一区两核多园”统筹协同发展。创新科技空间开发建设和管理政策，推动产学研共建研发空间，提高研发空间利用效率。依托滨海科技创新发展轴、梅观产业创新走廊、罗湖大梧桐新兴产业带等创新轴带，拓展全域创新空间载体。</w:t>
      </w:r>
    </w:p>
    <w:p>
      <w:pPr>
        <w:overflowPunct w:val="0"/>
        <w:adjustRightInd w:val="0"/>
        <w:snapToGrid w:val="0"/>
        <w:spacing w:line="600" w:lineRule="exact"/>
        <w:ind w:firstLine="640" w:firstLineChars="200"/>
        <w:textAlignment w:val="baseline"/>
        <w:rPr>
          <w:rFonts w:ascii="仿宋_GB2312" w:eastAsia="仿宋_GB2312"/>
          <w:sz w:val="32"/>
          <w:szCs w:val="32"/>
        </w:rPr>
      </w:pPr>
    </w:p>
    <w:p>
      <w:pPr>
        <w:spacing w:line="600" w:lineRule="exact"/>
        <w:jc w:val="center"/>
        <w:outlineLvl w:val="2"/>
        <w:rPr>
          <w:rFonts w:ascii="楷体" w:hAnsi="楷体" w:eastAsia="楷体" w:cs="楷体"/>
          <w:b/>
          <w:bCs/>
          <w:color w:val="000000" w:themeColor="text1"/>
          <w:sz w:val="32"/>
          <w:szCs w:val="32"/>
          <w14:textFill>
            <w14:solidFill>
              <w14:schemeClr w14:val="tx1"/>
            </w14:solidFill>
          </w14:textFill>
        </w:rPr>
      </w:pPr>
      <w:bookmarkStart w:id="2675" w:name="_Toc23768"/>
      <w:bookmarkStart w:id="2676" w:name="_Toc19120"/>
      <w:bookmarkStart w:id="2677" w:name="_Toc28057"/>
      <w:bookmarkStart w:id="2678" w:name="_Toc4006"/>
      <w:bookmarkStart w:id="2679" w:name="_Toc1523"/>
      <w:bookmarkStart w:id="2680" w:name="_Toc7892"/>
      <w:bookmarkStart w:id="2681" w:name="_Toc7249"/>
      <w:bookmarkStart w:id="2682" w:name="_Toc13037"/>
      <w:bookmarkStart w:id="2683" w:name="_Toc20521"/>
      <w:bookmarkStart w:id="2684" w:name="_Toc23532"/>
      <w:bookmarkStart w:id="2685" w:name="_Toc4661"/>
      <w:bookmarkStart w:id="2686" w:name="_Toc23289"/>
      <w:bookmarkStart w:id="2687" w:name="_Toc27310"/>
      <w:bookmarkStart w:id="2688" w:name="_Toc8291"/>
      <w:bookmarkStart w:id="2689" w:name="_Toc32733"/>
      <w:bookmarkStart w:id="2690" w:name="_Toc19157"/>
      <w:bookmarkStart w:id="2691" w:name="_Toc29453"/>
      <w:bookmarkStart w:id="2692" w:name="_Toc9595"/>
      <w:bookmarkStart w:id="2693" w:name="_Toc26635"/>
      <w:bookmarkStart w:id="2694" w:name="_Toc29"/>
      <w:bookmarkStart w:id="2695" w:name="_Toc22301"/>
      <w:bookmarkStart w:id="2696" w:name="_Toc28292"/>
      <w:bookmarkStart w:id="2697" w:name="_Toc13651"/>
      <w:bookmarkStart w:id="2698" w:name="_Toc275"/>
      <w:bookmarkStart w:id="2699" w:name="_Toc30113"/>
      <w:bookmarkStart w:id="2700" w:name="_Toc23212"/>
      <w:bookmarkStart w:id="2701" w:name="_Toc3882"/>
      <w:bookmarkStart w:id="2702" w:name="_Toc32183"/>
      <w:bookmarkStart w:id="2703" w:name="_Toc12125"/>
      <w:bookmarkStart w:id="2704" w:name="_Toc12009"/>
      <w:bookmarkStart w:id="2705" w:name="_Toc22554"/>
      <w:bookmarkStart w:id="2706" w:name="_Toc7300"/>
      <w:bookmarkStart w:id="2707" w:name="_Toc7283"/>
      <w:bookmarkStart w:id="2708" w:name="_Toc32681"/>
      <w:bookmarkStart w:id="2709" w:name="_Toc2707"/>
      <w:bookmarkStart w:id="2710" w:name="_Toc27752"/>
      <w:bookmarkStart w:id="2711" w:name="_Toc14643"/>
      <w:bookmarkStart w:id="2712" w:name="_Toc22104"/>
      <w:bookmarkStart w:id="2713" w:name="_Toc28598"/>
      <w:bookmarkStart w:id="2714" w:name="_Toc31866"/>
      <w:bookmarkStart w:id="2715" w:name="_Toc28136"/>
      <w:bookmarkStart w:id="2716" w:name="_Toc7156"/>
      <w:bookmarkStart w:id="2717" w:name="_Toc21396"/>
      <w:bookmarkStart w:id="2718" w:name="_Toc29930"/>
      <w:bookmarkStart w:id="2719" w:name="_Toc24753"/>
      <w:bookmarkStart w:id="2720" w:name="_Toc32147"/>
      <w:bookmarkStart w:id="2721" w:name="_Toc12031"/>
      <w:bookmarkStart w:id="2722" w:name="_Toc60"/>
      <w:bookmarkStart w:id="2723" w:name="_Toc26492"/>
      <w:bookmarkStart w:id="2724" w:name="_Toc16447"/>
      <w:bookmarkStart w:id="2725" w:name="_Toc24815"/>
      <w:bookmarkStart w:id="2726" w:name="_Toc28147"/>
      <w:bookmarkStart w:id="2727" w:name="_Toc25588"/>
      <w:bookmarkStart w:id="2728" w:name="_Toc4791"/>
      <w:bookmarkStart w:id="2729" w:name="_Toc17270"/>
      <w:bookmarkStart w:id="2730" w:name="_Toc10699"/>
      <w:bookmarkStart w:id="2731" w:name="_Toc30111"/>
      <w:bookmarkStart w:id="2732" w:name="_Toc6276"/>
      <w:bookmarkStart w:id="2733" w:name="_Toc7708"/>
      <w:bookmarkStart w:id="2734" w:name="_Toc32694"/>
      <w:bookmarkStart w:id="2735" w:name="_Toc2541"/>
      <w:bookmarkStart w:id="2736" w:name="_Toc2423"/>
      <w:bookmarkStart w:id="2737" w:name="_Toc964"/>
      <w:bookmarkStart w:id="2738" w:name="_Toc9368"/>
      <w:bookmarkStart w:id="2739" w:name="_Toc3676"/>
      <w:bookmarkStart w:id="2740" w:name="_Toc9206"/>
      <w:bookmarkStart w:id="2741" w:name="_Toc23335"/>
      <w:bookmarkStart w:id="2742" w:name="_Toc32428"/>
      <w:bookmarkStart w:id="2743" w:name="_Toc19754"/>
      <w:bookmarkStart w:id="2744" w:name="_Toc22091"/>
      <w:bookmarkStart w:id="2745" w:name="_Toc20298"/>
      <w:bookmarkStart w:id="2746" w:name="_Toc5198"/>
      <w:r>
        <w:rPr>
          <w:rFonts w:hint="eastAsia" w:ascii="楷体" w:hAnsi="楷体" w:eastAsia="楷体" w:cs="楷体"/>
          <w:b/>
          <w:bCs/>
          <w:color w:val="000000" w:themeColor="text1"/>
          <w:sz w:val="32"/>
          <w:szCs w:val="32"/>
          <w14:textFill>
            <w14:solidFill>
              <w14:schemeClr w14:val="tx1"/>
            </w14:solidFill>
          </w14:textFill>
        </w:rPr>
        <w:t>第五节 建设开放包容先行的国际人才高地</w:t>
      </w:r>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p>
    <w:p>
      <w:pPr>
        <w:overflowPunct w:val="0"/>
        <w:adjustRightInd w:val="0"/>
        <w:snapToGrid w:val="0"/>
        <w:spacing w:line="600" w:lineRule="exact"/>
        <w:ind w:firstLine="643" w:firstLineChars="200"/>
        <w:textAlignment w:val="baseline"/>
        <w:rPr>
          <w:rFonts w:ascii="仿宋_GB2312" w:hAnsi="仿宋_GB2312" w:eastAsia="仿宋_GB2312" w:cs="仿宋_GB2312"/>
          <w:sz w:val="32"/>
          <w:szCs w:val="32"/>
        </w:rPr>
      </w:pPr>
      <w:r>
        <w:rPr>
          <w:rStyle w:val="37"/>
          <w:rFonts w:hint="eastAsia" w:ascii="仿宋_GB2312" w:hAnsi="仿宋_GB2312" w:eastAsia="仿宋_GB2312" w:cs="仿宋_GB2312"/>
          <w:b/>
          <w:sz w:val="32"/>
          <w:szCs w:val="32"/>
        </w:rPr>
        <w:t>打造国内外人才汇聚之城</w:t>
      </w:r>
      <w:r>
        <w:rPr>
          <w:rStyle w:val="37"/>
          <w:rFonts w:ascii="仿宋_GB2312" w:hAnsi="仿宋_GB2312" w:eastAsia="仿宋_GB2312" w:cs="仿宋_GB2312"/>
          <w:b/>
          <w:sz w:val="32"/>
          <w:szCs w:val="32"/>
        </w:rPr>
        <w:t>。</w:t>
      </w:r>
      <w:r>
        <w:rPr>
          <w:rFonts w:hint="eastAsia" w:ascii="仿宋_GB2312" w:hAnsi="仿宋_GB2312" w:eastAsia="仿宋_GB2312" w:cs="仿宋_GB2312"/>
          <w:sz w:val="32"/>
          <w:szCs w:val="32"/>
        </w:rPr>
        <w:t>实行更加积极、更加开放、更加有效的人才政策，引进培养一批具有国际水平的战略科技人才、科技领军人才、青年科技人才和高水平创新团队，打造完备的人才梯队体系。实施“2025百杰计划”，实行紧缺人才清单制度，靶向引进一批“高精尖缺”创新人才和团队，提升引才精准度和产业适配度。健全国际化猎头机制，加大柔性引才力度</w:t>
      </w:r>
      <w:r>
        <w:rPr>
          <w:rFonts w:hint="eastAsia" w:ascii="仿宋_GB2312" w:eastAsia="仿宋_GB2312"/>
          <w:sz w:val="32"/>
          <w:szCs w:val="32"/>
        </w:rPr>
        <w:t>。</w:t>
      </w:r>
    </w:p>
    <w:p>
      <w:pPr>
        <w:overflowPunct w:val="0"/>
        <w:adjustRightInd w:val="0"/>
        <w:snapToGrid w:val="0"/>
        <w:spacing w:line="600" w:lineRule="exact"/>
        <w:ind w:firstLine="643" w:firstLineChars="200"/>
        <w:textAlignment w:val="baseline"/>
        <w:rPr>
          <w:rFonts w:ascii="仿宋_GB2312" w:eastAsia="仿宋_GB2312"/>
          <w:sz w:val="32"/>
          <w:szCs w:val="32"/>
        </w:rPr>
      </w:pPr>
      <w:r>
        <w:rPr>
          <w:rFonts w:hint="eastAsia" w:ascii="仿宋_GB2312" w:eastAsia="仿宋_GB2312"/>
          <w:b/>
          <w:sz w:val="32"/>
          <w:szCs w:val="32"/>
        </w:rPr>
        <w:t>深化国际人才管理改革。</w:t>
      </w:r>
      <w:r>
        <w:rPr>
          <w:rFonts w:hint="eastAsia" w:ascii="仿宋_GB2312" w:eastAsia="仿宋_GB2312"/>
          <w:sz w:val="32"/>
          <w:szCs w:val="32"/>
        </w:rPr>
        <w:t>实行更加开放便利的境外人才引进和出入境管理制度，探索实施技术移民政策，畅通海外科学家、高端创新人才来华工作通道。建立与国际接轨的高层次人才招聘、薪酬、评价、考核、科研资助和管理制度，推动高端紧缺人才个人所得税优惠政策扩大适用范围和期限。允许取得永久居留资格的国际人才创办科技型企业、担任科研机构法人代表和负责人，探索建立高度便利的境外专业人才执业制度。</w:t>
      </w:r>
    </w:p>
    <w:p>
      <w:pPr>
        <w:overflowPunct w:val="0"/>
        <w:adjustRightInd w:val="0"/>
        <w:snapToGrid w:val="0"/>
        <w:spacing w:line="600" w:lineRule="exact"/>
        <w:ind w:firstLine="643" w:firstLineChars="200"/>
        <w:textAlignment w:val="baseline"/>
        <w:rPr>
          <w:rFonts w:ascii="仿宋_GB2312" w:hAnsi="仿宋_GB2312" w:eastAsia="仿宋_GB2312" w:cs="仿宋_GB2312"/>
        </w:rPr>
      </w:pPr>
      <w:r>
        <w:rPr>
          <w:rStyle w:val="37"/>
          <w:rFonts w:hint="eastAsia" w:ascii="仿宋_GB2312" w:hAnsi="仿宋_GB2312" w:eastAsia="仿宋_GB2312" w:cs="仿宋_GB2312"/>
          <w:b/>
          <w:sz w:val="32"/>
          <w:szCs w:val="32"/>
        </w:rPr>
        <w:t>营造国际一流的人才发展环境。</w:t>
      </w:r>
      <w:r>
        <w:rPr>
          <w:rStyle w:val="37"/>
          <w:rFonts w:hint="eastAsia" w:ascii="仿宋_GB2312" w:hAnsi="仿宋_GB2312" w:eastAsia="仿宋_GB2312" w:cs="仿宋_GB2312"/>
          <w:bCs/>
          <w:sz w:val="32"/>
          <w:szCs w:val="32"/>
        </w:rPr>
        <w:t>加强国际人才交流合作，</w:t>
      </w:r>
      <w:r>
        <w:rPr>
          <w:rFonts w:hint="eastAsia" w:ascii="仿宋_GB2312" w:hAnsi="仿宋_GB2312" w:eastAsia="仿宋_GB2312" w:cs="仿宋_GB2312"/>
          <w:sz w:val="32"/>
          <w:szCs w:val="32"/>
        </w:rPr>
        <w:t>高水平举办中国国际人才交流大会和“人才日”系列活动</w:t>
      </w:r>
      <w:r>
        <w:rPr>
          <w:rStyle w:val="37"/>
          <w:rFonts w:hint="eastAsia" w:ascii="仿宋_GB2312" w:hAnsi="仿宋_GB2312" w:eastAsia="仿宋_GB2312" w:cs="仿宋_GB2312"/>
          <w:bCs/>
          <w:sz w:val="32"/>
          <w:szCs w:val="32"/>
        </w:rPr>
        <w:t>。加大优质公共服务资源供给，为人才提供安居、医疗健康、子女教育等服务保障。完善便利国际人才工作生活的配套措施，为国际人才提供一站式服务。建设海外高层次人才创新创业孵化器，</w:t>
      </w:r>
      <w:r>
        <w:rPr>
          <w:rStyle w:val="37"/>
          <w:rFonts w:ascii="仿宋_GB2312" w:hAnsi="仿宋_GB2312" w:eastAsia="仿宋_GB2312" w:cs="仿宋_GB2312"/>
          <w:bCs/>
          <w:sz w:val="32"/>
          <w:szCs w:val="32"/>
        </w:rPr>
        <w:t>设立全新机制创新创业学院，打造具有全球感召力的事业平台。</w:t>
      </w:r>
      <w:r>
        <w:rPr>
          <w:rStyle w:val="37"/>
          <w:b/>
          <w:sz w:val="32"/>
          <w:szCs w:val="32"/>
        </w:rPr>
        <w:br w:type="page"/>
      </w:r>
    </w:p>
    <w:bookmarkEnd w:id="1717"/>
    <w:bookmarkEnd w:id="1718"/>
    <w:bookmarkEnd w:id="1719"/>
    <w:bookmarkEnd w:id="1720"/>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306"/>
    <w:bookmarkEnd w:id="2307"/>
    <w:bookmarkEnd w:id="2308"/>
    <w:bookmarkEnd w:id="2309"/>
    <w:bookmarkEnd w:id="2310"/>
    <w:bookmarkEnd w:id="2311"/>
    <w:bookmarkEnd w:id="2312"/>
    <w:bookmarkEnd w:id="2313"/>
    <w:bookmarkEnd w:id="2314"/>
    <w:p>
      <w:pPr>
        <w:spacing w:line="600" w:lineRule="exact"/>
        <w:ind w:firstLine="720" w:firstLineChars="200"/>
        <w:outlineLvl w:val="1"/>
        <w:rPr>
          <w:rFonts w:ascii="黑体" w:hAnsi="黑体" w:eastAsia="黑体" w:cs="黑体"/>
          <w:sz w:val="36"/>
          <w:szCs w:val="36"/>
        </w:rPr>
      </w:pPr>
      <w:bookmarkStart w:id="2747" w:name="_Toc22386"/>
      <w:bookmarkStart w:id="2748" w:name="_Toc26545"/>
      <w:bookmarkStart w:id="2749" w:name="_Toc20359"/>
      <w:bookmarkStart w:id="2750" w:name="_Toc19544"/>
      <w:bookmarkStart w:id="2751" w:name="_Toc17663"/>
      <w:bookmarkStart w:id="2752" w:name="_Toc7284"/>
      <w:bookmarkStart w:id="2753" w:name="_Toc11905"/>
      <w:bookmarkStart w:id="2754" w:name="_Toc6227"/>
      <w:bookmarkStart w:id="2755" w:name="_Toc4078"/>
      <w:bookmarkStart w:id="2756" w:name="_Toc25962"/>
      <w:bookmarkStart w:id="2757" w:name="_Toc13842"/>
      <w:bookmarkStart w:id="2758" w:name="_Toc25700"/>
      <w:bookmarkStart w:id="2759" w:name="_Toc17218"/>
      <w:bookmarkStart w:id="2760" w:name="_Toc5510"/>
      <w:bookmarkStart w:id="2761" w:name="_Toc20576"/>
      <w:bookmarkStart w:id="2762" w:name="_Toc24498"/>
      <w:bookmarkStart w:id="2763" w:name="_Toc25318"/>
      <w:bookmarkStart w:id="2764" w:name="_Toc408"/>
      <w:bookmarkStart w:id="2765" w:name="_Toc6506"/>
      <w:bookmarkStart w:id="2766" w:name="_Toc25184"/>
      <w:bookmarkStart w:id="2767" w:name="_Toc10007"/>
      <w:bookmarkStart w:id="2768" w:name="_Toc26798"/>
      <w:bookmarkStart w:id="2769" w:name="_Toc30653"/>
      <w:bookmarkStart w:id="2770" w:name="_Toc11993"/>
      <w:bookmarkStart w:id="2771" w:name="_Toc20110"/>
      <w:bookmarkStart w:id="2772" w:name="_Toc11595"/>
      <w:bookmarkStart w:id="2773" w:name="_Toc15824"/>
      <w:bookmarkStart w:id="2774" w:name="_Toc32501"/>
      <w:bookmarkStart w:id="2775" w:name="_Toc26592"/>
      <w:bookmarkStart w:id="2776" w:name="_Toc26756"/>
      <w:bookmarkStart w:id="2777" w:name="_Toc1022"/>
      <w:bookmarkStart w:id="2778" w:name="_Toc5006"/>
      <w:bookmarkStart w:id="2779" w:name="_Toc14192"/>
      <w:bookmarkStart w:id="2780" w:name="_Toc19058"/>
      <w:bookmarkStart w:id="2781" w:name="_Toc4220"/>
      <w:bookmarkStart w:id="2782" w:name="_Toc13223"/>
      <w:bookmarkStart w:id="2783" w:name="_Toc15347"/>
      <w:bookmarkStart w:id="2784" w:name="_Toc16234"/>
      <w:bookmarkStart w:id="2785" w:name="_Toc12655"/>
      <w:bookmarkStart w:id="2786" w:name="_Toc14264"/>
      <w:bookmarkStart w:id="2787" w:name="_Toc22642"/>
      <w:bookmarkStart w:id="2788" w:name="_Toc14165"/>
      <w:bookmarkStart w:id="2789" w:name="_Toc3237"/>
      <w:bookmarkStart w:id="2790" w:name="_Toc5041"/>
      <w:bookmarkStart w:id="2791" w:name="_Toc6200"/>
      <w:bookmarkStart w:id="2792" w:name="_Toc4420"/>
      <w:bookmarkStart w:id="2793" w:name="_Toc21760"/>
      <w:bookmarkStart w:id="2794" w:name="_Toc26904"/>
      <w:bookmarkStart w:id="2795" w:name="_Toc1716"/>
      <w:bookmarkStart w:id="2796" w:name="_Toc1632"/>
      <w:bookmarkStart w:id="2797" w:name="_Toc971"/>
      <w:bookmarkStart w:id="2798" w:name="_Toc18516"/>
      <w:bookmarkStart w:id="2799" w:name="_Toc23790"/>
      <w:bookmarkStart w:id="2800" w:name="_Toc5297"/>
      <w:bookmarkStart w:id="2801" w:name="_Toc28339"/>
      <w:bookmarkStart w:id="2802" w:name="_Toc25066"/>
      <w:bookmarkStart w:id="2803" w:name="_Toc18572"/>
      <w:bookmarkStart w:id="2804" w:name="_Toc9561"/>
      <w:bookmarkStart w:id="2805" w:name="_Toc25481"/>
      <w:bookmarkStart w:id="2806" w:name="_Toc11444"/>
      <w:bookmarkStart w:id="2807" w:name="_Toc24144"/>
      <w:bookmarkStart w:id="2808" w:name="_Toc30802"/>
      <w:bookmarkStart w:id="2809" w:name="_Toc31557"/>
      <w:bookmarkStart w:id="2810" w:name="_Toc31531"/>
      <w:bookmarkStart w:id="2811" w:name="_Toc3224"/>
      <w:bookmarkStart w:id="2812" w:name="_Toc4205"/>
      <w:bookmarkStart w:id="2813" w:name="_Toc22450"/>
      <w:bookmarkStart w:id="2814" w:name="_Toc2483"/>
      <w:bookmarkStart w:id="2815" w:name="_Toc10752"/>
      <w:bookmarkStart w:id="2816" w:name="_Toc23612"/>
      <w:bookmarkStart w:id="2817" w:name="_Toc32209"/>
      <w:bookmarkStart w:id="2818" w:name="_Toc5424"/>
      <w:bookmarkStart w:id="2819" w:name="_Toc27617"/>
      <w:r>
        <w:rPr>
          <w:rFonts w:hint="eastAsia" w:ascii="黑体" w:hAnsi="黑体" w:eastAsia="黑体" w:cs="黑体"/>
          <w:sz w:val="36"/>
          <w:szCs w:val="36"/>
        </w:rPr>
        <w:t>第八章 构建高端高质高新的现代产业体系</w:t>
      </w:r>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p>
    <w:p>
      <w:pPr>
        <w:pStyle w:val="14"/>
        <w:spacing w:line="600" w:lineRule="exact"/>
      </w:pPr>
    </w:p>
    <w:p>
      <w:pPr>
        <w:overflowPunct w:val="0"/>
        <w:adjustRightInd w:val="0"/>
        <w:snapToGrid w:val="0"/>
        <w:spacing w:line="600" w:lineRule="exact"/>
        <w:ind w:firstLine="640" w:firstLineChars="200"/>
        <w:rPr>
          <w:rFonts w:ascii="仿宋_GB2312" w:hAnsi="仿宋_GB2312" w:eastAsia="仿宋_GB2312" w:cs="仿宋_GB2312"/>
          <w:bCs/>
          <w:sz w:val="32"/>
          <w:szCs w:val="32"/>
        </w:rPr>
      </w:pPr>
      <w:r>
        <w:rPr>
          <w:rFonts w:hint="eastAsia" w:ascii="仿宋_GB2312" w:eastAsia="仿宋_GB2312"/>
          <w:sz w:val="32"/>
          <w:szCs w:val="32"/>
        </w:rPr>
        <w:t>巩固壮大实体经济根基，增强产业链根植性和竞争力，</w:t>
      </w:r>
      <w:r>
        <w:rPr>
          <w:rFonts w:hint="eastAsia" w:ascii="仿宋_GB2312" w:hAnsi="仿宋_GB2312" w:eastAsia="仿宋_GB2312" w:cs="仿宋_GB2312"/>
          <w:bCs/>
          <w:sz w:val="32"/>
          <w:szCs w:val="32"/>
        </w:rPr>
        <w:t>前瞻布局战略性新兴产业，培育发展未来产业，提升服务业发展能级，推动先进制造业和现代服务业深度融合发展，提高经济质量效益和核心竞争力，</w:t>
      </w:r>
      <w:r>
        <w:rPr>
          <w:rFonts w:hint="eastAsia" w:ascii="仿宋_GB2312" w:eastAsia="仿宋_GB2312"/>
          <w:sz w:val="32"/>
          <w:szCs w:val="32"/>
        </w:rPr>
        <w:t>重塑产业链竞争新优势</w:t>
      </w:r>
      <w:r>
        <w:rPr>
          <w:rFonts w:hint="eastAsia" w:ascii="仿宋_GB2312" w:hAnsi="仿宋_GB2312" w:eastAsia="仿宋_GB2312" w:cs="仿宋_GB2312"/>
          <w:bCs/>
          <w:sz w:val="32"/>
          <w:szCs w:val="32"/>
        </w:rPr>
        <w:t>。</w:t>
      </w:r>
    </w:p>
    <w:p>
      <w:pPr>
        <w:pStyle w:val="8"/>
        <w:spacing w:line="600" w:lineRule="exact"/>
        <w:ind w:firstLine="640"/>
        <w:rPr>
          <w:rFonts w:ascii="仿宋_GB2312" w:hAnsi="仿宋_GB2312" w:eastAsia="仿宋_GB2312" w:cs="仿宋_GB2312"/>
          <w:bCs/>
          <w:sz w:val="32"/>
          <w:szCs w:val="32"/>
        </w:rPr>
      </w:pPr>
    </w:p>
    <w:p>
      <w:pPr>
        <w:spacing w:line="600" w:lineRule="exact"/>
        <w:jc w:val="center"/>
        <w:outlineLvl w:val="2"/>
        <w:rPr>
          <w:rFonts w:ascii="楷体" w:hAnsi="楷体" w:eastAsia="楷体" w:cs="楷体"/>
          <w:b/>
          <w:bCs/>
          <w:sz w:val="32"/>
          <w:szCs w:val="32"/>
        </w:rPr>
      </w:pPr>
      <w:bookmarkStart w:id="2820" w:name="_Toc4403"/>
      <w:bookmarkStart w:id="2821" w:name="_Toc15575"/>
      <w:bookmarkStart w:id="2822" w:name="_Toc32168"/>
      <w:bookmarkStart w:id="2823" w:name="_Toc30778"/>
      <w:bookmarkStart w:id="2824" w:name="_Toc14422"/>
      <w:bookmarkStart w:id="2825" w:name="_Toc24950"/>
      <w:bookmarkStart w:id="2826" w:name="_Toc13448"/>
      <w:bookmarkStart w:id="2827" w:name="_Toc18120"/>
      <w:bookmarkStart w:id="2828" w:name="_Toc18855"/>
      <w:bookmarkStart w:id="2829" w:name="_Toc27866"/>
      <w:bookmarkStart w:id="2830" w:name="_Toc19074"/>
      <w:bookmarkStart w:id="2831" w:name="_Toc27296"/>
      <w:bookmarkStart w:id="2832" w:name="_Toc17197"/>
      <w:bookmarkStart w:id="2833" w:name="_Toc2570"/>
      <w:bookmarkStart w:id="2834" w:name="_Toc28392"/>
      <w:bookmarkStart w:id="2835" w:name="_Toc17319"/>
      <w:bookmarkStart w:id="2836" w:name="_Toc28198"/>
      <w:bookmarkStart w:id="2837" w:name="_Toc13684"/>
      <w:bookmarkStart w:id="2838" w:name="_Toc16483"/>
      <w:bookmarkStart w:id="2839" w:name="_Toc7486"/>
      <w:bookmarkStart w:id="2840" w:name="_Toc18093"/>
      <w:bookmarkStart w:id="2841" w:name="_Toc2849"/>
      <w:bookmarkStart w:id="2842" w:name="_Toc4397"/>
      <w:bookmarkStart w:id="2843" w:name="_Toc14203"/>
      <w:bookmarkStart w:id="2844" w:name="_Toc25325"/>
      <w:bookmarkStart w:id="2845" w:name="_Toc627"/>
      <w:bookmarkStart w:id="2846" w:name="_Toc17464"/>
      <w:bookmarkStart w:id="2847" w:name="_Toc8567"/>
      <w:bookmarkStart w:id="2848" w:name="_Toc7215"/>
      <w:bookmarkStart w:id="2849" w:name="_Toc27091"/>
      <w:bookmarkStart w:id="2850" w:name="_Toc22862"/>
      <w:bookmarkStart w:id="2851" w:name="_Toc13181"/>
      <w:bookmarkStart w:id="2852" w:name="_Toc27108"/>
      <w:bookmarkStart w:id="2853" w:name="_Toc30172"/>
      <w:bookmarkStart w:id="2854" w:name="_Toc16581"/>
      <w:bookmarkStart w:id="2855" w:name="_Toc22086"/>
      <w:bookmarkStart w:id="2856" w:name="_Toc7130"/>
      <w:bookmarkStart w:id="2857" w:name="_Toc17637"/>
      <w:bookmarkStart w:id="2858" w:name="_Toc25783"/>
      <w:bookmarkStart w:id="2859" w:name="_Toc27822"/>
      <w:bookmarkStart w:id="2860" w:name="_Toc17593"/>
      <w:bookmarkStart w:id="2861" w:name="_Toc56"/>
      <w:bookmarkStart w:id="2862" w:name="_Toc29229"/>
      <w:bookmarkStart w:id="2863" w:name="_Toc12463"/>
      <w:bookmarkStart w:id="2864" w:name="_Toc12588"/>
      <w:bookmarkStart w:id="2865" w:name="_Toc24718"/>
      <w:bookmarkStart w:id="2866" w:name="_Toc19318"/>
      <w:bookmarkStart w:id="2867" w:name="_Toc15870"/>
      <w:r>
        <w:rPr>
          <w:rFonts w:hint="eastAsia" w:ascii="楷体" w:hAnsi="楷体" w:eastAsia="楷体" w:cs="楷体"/>
          <w:b/>
          <w:bCs/>
          <w:sz w:val="32"/>
          <w:szCs w:val="32"/>
        </w:rPr>
        <w:t>第一节 推进产业基础高级化和产业链现代化</w:t>
      </w:r>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p>
    <w:p>
      <w:pPr>
        <w:overflowPunct w:val="0"/>
        <w:adjustRightInd w:val="0"/>
        <w:snapToGrid w:val="0"/>
        <w:spacing w:line="60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实施产业基础再造工程。</w:t>
      </w:r>
      <w:r>
        <w:rPr>
          <w:rFonts w:hint="eastAsia" w:ascii="仿宋_GB2312" w:hAnsi="仿宋_GB2312" w:eastAsia="仿宋_GB2312" w:cs="仿宋_GB2312"/>
          <w:bCs/>
          <w:color w:val="000000" w:themeColor="text1"/>
          <w:sz w:val="32"/>
          <w:szCs w:val="32"/>
          <w14:textFill>
            <w14:solidFill>
              <w14:schemeClr w14:val="tx1"/>
            </w14:solidFill>
          </w14:textFill>
        </w:rPr>
        <w:t>开展以产业需求为导向的技术攻关，提升基础核心零部件、关键基础材料、先进基础工艺、基础关键技术等研发创新能力，发展先进适用技术</w:t>
      </w: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rPr>
        <w:t>积极参与国家产业基础再造工程，主动对接开展国家级产业基础提升相关重点项目。</w:t>
      </w:r>
      <w:r>
        <w:rPr>
          <w:rFonts w:hint="eastAsia" w:ascii="仿宋_GB2312" w:eastAsia="仿宋_GB2312"/>
          <w:sz w:val="32"/>
          <w:szCs w:val="32"/>
        </w:rPr>
        <w:t>建设国际科技信息中心和</w:t>
      </w:r>
      <w:r>
        <w:rPr>
          <w:rFonts w:hint="eastAsia" w:ascii="仿宋_GB2312" w:hAnsi="仿宋" w:eastAsia="仿宋_GB2312" w:cs="仿宋"/>
          <w:bCs/>
          <w:sz w:val="32"/>
          <w:szCs w:val="32"/>
        </w:rPr>
        <w:t>国际产业信息中心，</w:t>
      </w:r>
      <w:r>
        <w:rPr>
          <w:rFonts w:hint="eastAsia" w:ascii="仿宋_GB2312" w:hAnsi="仿宋" w:eastAsia="仿宋_GB2312" w:cs="仿宋"/>
          <w:bCs/>
          <w:sz w:val="32"/>
          <w:szCs w:val="32"/>
          <w:lang w:val="zh-CN"/>
        </w:rPr>
        <w:t>构建特色鲜明、国内一流、国际知名的科技智库和产业智库</w:t>
      </w:r>
      <w:r>
        <w:rPr>
          <w:rFonts w:hint="eastAsia" w:ascii="仿宋_GB2312" w:hAnsi="仿宋" w:eastAsia="仿宋_GB2312" w:cs="仿宋"/>
          <w:bCs/>
          <w:sz w:val="32"/>
          <w:szCs w:val="32"/>
        </w:rPr>
        <w:t>。</w:t>
      </w:r>
      <w:r>
        <w:rPr>
          <w:rFonts w:hint="eastAsia" w:ascii="仿宋_GB2312" w:hAnsi="仿宋_GB2312" w:eastAsia="仿宋_GB2312" w:cs="仿宋_GB2312"/>
          <w:bCs/>
          <w:sz w:val="32"/>
          <w:szCs w:val="32"/>
        </w:rPr>
        <w:t>建设一批企业主导、院校协作、多元投资、成果分享的技术创新中心、产业创新中心，</w:t>
      </w:r>
      <w:r>
        <w:rPr>
          <w:rFonts w:ascii="仿宋_GB2312" w:hAnsi="仿宋_GB2312" w:eastAsia="仿宋_GB2312" w:cs="仿宋_GB2312"/>
          <w:bCs/>
          <w:sz w:val="32"/>
          <w:szCs w:val="32"/>
        </w:rPr>
        <w:t>在未来通信高端器件、超高清视频等领域</w:t>
      </w:r>
      <w:r>
        <w:rPr>
          <w:rFonts w:hint="eastAsia" w:ascii="仿宋_GB2312" w:hAnsi="仿宋_GB2312" w:eastAsia="仿宋_GB2312" w:cs="仿宋_GB2312"/>
          <w:bCs/>
          <w:sz w:val="32"/>
          <w:szCs w:val="32"/>
        </w:rPr>
        <w:t>争创</w:t>
      </w:r>
      <w:r>
        <w:rPr>
          <w:rFonts w:ascii="仿宋_GB2312" w:hAnsi="仿宋_GB2312" w:eastAsia="仿宋_GB2312" w:cs="仿宋_GB2312"/>
          <w:bCs/>
          <w:sz w:val="32"/>
          <w:szCs w:val="32"/>
        </w:rPr>
        <w:t>国家</w:t>
      </w:r>
      <w:r>
        <w:rPr>
          <w:rFonts w:hint="eastAsia" w:ascii="仿宋_GB2312" w:hAnsi="仿宋_GB2312" w:eastAsia="仿宋_GB2312" w:cs="仿宋_GB2312"/>
          <w:bCs/>
          <w:sz w:val="32"/>
          <w:szCs w:val="32"/>
        </w:rPr>
        <w:t>级制造业</w:t>
      </w:r>
      <w:r>
        <w:rPr>
          <w:rFonts w:ascii="仿宋_GB2312" w:hAnsi="仿宋_GB2312" w:eastAsia="仿宋_GB2312" w:cs="仿宋_GB2312"/>
          <w:bCs/>
          <w:sz w:val="32"/>
          <w:szCs w:val="32"/>
        </w:rPr>
        <w:t>创新中心</w:t>
      </w:r>
      <w:r>
        <w:rPr>
          <w:rFonts w:hint="eastAsia" w:ascii="仿宋_GB2312" w:hAnsi="仿宋_GB2312" w:eastAsia="仿宋_GB2312" w:cs="仿宋_GB2312"/>
          <w:bCs/>
          <w:sz w:val="32"/>
          <w:szCs w:val="32"/>
        </w:rPr>
        <w:t>。</w:t>
      </w:r>
    </w:p>
    <w:p>
      <w:pPr>
        <w:overflowPunct w:val="0"/>
        <w:spacing w:line="600" w:lineRule="exact"/>
        <w:ind w:firstLine="643" w:firstLineChars="200"/>
        <w:rPr>
          <w:rFonts w:ascii="Times New Roman" w:hAnsi="Times New Roman" w:eastAsia="仿宋_GB2312"/>
          <w:spacing w:val="15"/>
          <w:sz w:val="32"/>
          <w:szCs w:val="32"/>
        </w:rPr>
      </w:pPr>
      <w:r>
        <w:rPr>
          <w:rFonts w:hint="eastAsia" w:ascii="仿宋_GB2312" w:hAnsi="仿宋" w:eastAsia="仿宋_GB2312" w:cs="仿宋"/>
          <w:b/>
          <w:bCs/>
          <w:sz w:val="32"/>
          <w:szCs w:val="32"/>
        </w:rPr>
        <w:t>打造自主可控、安全高效的产业链供应链</w:t>
      </w:r>
      <w:r>
        <w:rPr>
          <w:rFonts w:hint="eastAsia" w:ascii="仿宋_GB2312" w:hAnsi="仿宋" w:eastAsia="仿宋_GB2312" w:cs="仿宋"/>
          <w:b/>
          <w:sz w:val="32"/>
          <w:szCs w:val="32"/>
        </w:rPr>
        <w:t>。</w:t>
      </w:r>
      <w:r>
        <w:rPr>
          <w:rFonts w:hint="eastAsia" w:ascii="仿宋_GB2312" w:hAnsi="仿宋" w:eastAsia="仿宋_GB2312" w:cs="仿宋"/>
          <w:sz w:val="32"/>
          <w:szCs w:val="32"/>
        </w:rPr>
        <w:t>实施全产业链发展战略，</w:t>
      </w:r>
      <w:r>
        <w:rPr>
          <w:rFonts w:hint="eastAsia" w:ascii="仿宋_GB2312" w:hAnsi="仿宋_GB2312" w:eastAsia="仿宋_GB2312" w:cs="仿宋_GB2312"/>
          <w:bCs/>
          <w:sz w:val="32"/>
          <w:szCs w:val="32"/>
        </w:rPr>
        <w:t>围绕</w:t>
      </w:r>
      <w:r>
        <w:rPr>
          <w:rFonts w:hint="eastAsia" w:ascii="仿宋_GB2312" w:hAnsi="仿宋_GB2312" w:eastAsia="仿宋_GB2312" w:cs="仿宋_GB2312"/>
          <w:sz w:val="32"/>
          <w:szCs w:val="32"/>
        </w:rPr>
        <w:t>集成电路、5G、生物医药、新能源汽车等</w:t>
      </w:r>
      <w:r>
        <w:rPr>
          <w:rFonts w:ascii="仿宋_GB2312" w:hAnsi="仿宋_GB2312" w:eastAsia="仿宋_GB2312" w:cs="仿宋_GB2312"/>
          <w:bCs/>
          <w:sz w:val="32"/>
          <w:szCs w:val="32"/>
        </w:rPr>
        <w:t>重点</w:t>
      </w:r>
      <w:r>
        <w:rPr>
          <w:rFonts w:hint="eastAsia" w:ascii="仿宋_GB2312" w:hAnsi="仿宋_GB2312" w:eastAsia="仿宋_GB2312" w:cs="仿宋_GB2312"/>
          <w:bCs/>
          <w:sz w:val="32"/>
          <w:szCs w:val="32"/>
        </w:rPr>
        <w:t>产业链，实施“链长制”、做好“链式”服务，持续推动补链、强链、延链、控链、稳链。完善</w:t>
      </w:r>
      <w:r>
        <w:rPr>
          <w:rFonts w:ascii="仿宋_GB2312" w:hAnsi="仿宋_GB2312" w:eastAsia="仿宋_GB2312" w:cs="仿宋_GB2312"/>
          <w:bCs/>
          <w:sz w:val="32"/>
          <w:szCs w:val="32"/>
        </w:rPr>
        <w:t>供应链清单制度和</w:t>
      </w:r>
      <w:r>
        <w:rPr>
          <w:rFonts w:hint="eastAsia" w:ascii="仿宋_GB2312" w:hAnsi="仿宋_GB2312" w:eastAsia="仿宋_GB2312" w:cs="仿宋_GB2312"/>
          <w:bCs/>
          <w:sz w:val="32"/>
          <w:szCs w:val="32"/>
        </w:rPr>
        <w:t>系统重要性</w:t>
      </w:r>
      <w:r>
        <w:rPr>
          <w:rFonts w:ascii="仿宋_GB2312" w:hAnsi="仿宋_GB2312" w:eastAsia="仿宋_GB2312" w:cs="仿宋_GB2312"/>
          <w:bCs/>
          <w:sz w:val="32"/>
          <w:szCs w:val="32"/>
        </w:rPr>
        <w:t>企业数据库</w:t>
      </w:r>
      <w:r>
        <w:rPr>
          <w:rFonts w:hint="eastAsia" w:ascii="仿宋_GB2312" w:hAnsi="仿宋_GB2312" w:eastAsia="仿宋_GB2312" w:cs="仿宋_GB2312"/>
          <w:bCs/>
          <w:sz w:val="32"/>
          <w:szCs w:val="32"/>
        </w:rPr>
        <w:t>，清单式</w:t>
      </w:r>
      <w:r>
        <w:rPr>
          <w:rFonts w:ascii="仿宋_GB2312" w:hAnsi="仿宋_GB2312" w:eastAsia="仿宋_GB2312" w:cs="仿宋_GB2312"/>
          <w:bCs/>
          <w:sz w:val="32"/>
          <w:szCs w:val="32"/>
        </w:rPr>
        <w:t>管理高风险零部件和</w:t>
      </w:r>
      <w:r>
        <w:rPr>
          <w:rFonts w:hint="eastAsia" w:ascii="仿宋_GB2312" w:hAnsi="仿宋_GB2312" w:eastAsia="仿宋_GB2312" w:cs="仿宋_GB2312"/>
          <w:bCs/>
          <w:sz w:val="32"/>
          <w:szCs w:val="32"/>
        </w:rPr>
        <w:t>“卡</w:t>
      </w:r>
      <w:r>
        <w:rPr>
          <w:rFonts w:ascii="仿宋_GB2312" w:hAnsi="仿宋_GB2312" w:eastAsia="仿宋_GB2312" w:cs="仿宋_GB2312"/>
          <w:bCs/>
          <w:sz w:val="32"/>
          <w:szCs w:val="32"/>
        </w:rPr>
        <w:t>脖子</w:t>
      </w:r>
      <w:r>
        <w:rPr>
          <w:rFonts w:hint="eastAsia" w:ascii="仿宋_GB2312" w:hAnsi="仿宋_GB2312" w:eastAsia="仿宋_GB2312" w:cs="仿宋_GB2312"/>
          <w:bCs/>
          <w:sz w:val="32"/>
          <w:szCs w:val="32"/>
        </w:rPr>
        <w:t>”技术</w:t>
      </w: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rPr>
        <w:t>实施产业链精准扶持政策，</w:t>
      </w:r>
      <w:r>
        <w:rPr>
          <w:rFonts w:ascii="仿宋_GB2312" w:hAnsi="仿宋_GB2312" w:eastAsia="仿宋_GB2312" w:cs="仿宋_GB2312"/>
          <w:sz w:val="32"/>
          <w:szCs w:val="32"/>
        </w:rPr>
        <w:t>培育</w:t>
      </w:r>
      <w:r>
        <w:rPr>
          <w:rFonts w:hint="eastAsia" w:ascii="仿宋_GB2312" w:hAnsi="仿宋_GB2312" w:eastAsia="仿宋_GB2312" w:cs="仿宋_GB2312"/>
          <w:sz w:val="32"/>
          <w:szCs w:val="32"/>
        </w:rPr>
        <w:t>一批</w:t>
      </w:r>
      <w:r>
        <w:rPr>
          <w:rFonts w:ascii="仿宋_GB2312" w:hAnsi="仿宋_GB2312" w:eastAsia="仿宋_GB2312" w:cs="仿宋_GB2312"/>
          <w:bCs/>
          <w:sz w:val="32"/>
          <w:szCs w:val="32"/>
        </w:rPr>
        <w:t>产业生态主导型企业</w:t>
      </w:r>
      <w:r>
        <w:rPr>
          <w:rFonts w:hint="eastAsia" w:ascii="仿宋_GB2312" w:hAnsi="仿宋_GB2312" w:eastAsia="仿宋_GB2312" w:cs="仿宋_GB2312"/>
          <w:bCs/>
          <w:sz w:val="32"/>
          <w:szCs w:val="32"/>
        </w:rPr>
        <w:t>、产业链“链主”企业</w:t>
      </w: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rPr>
        <w:t>构建完善大中小微企业专业化分工协作、共同发展的产业体系。到2025年，国家制造业单项冠军企业达50家，国家专精特新“小巨人”企业达300家以上，国家级高新技术企业达2</w:t>
      </w: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rPr>
        <w:t>2</w:t>
      </w:r>
      <w:r>
        <w:rPr>
          <w:rFonts w:ascii="仿宋_GB2312" w:hAnsi="仿宋_GB2312" w:eastAsia="仿宋_GB2312" w:cs="仿宋_GB2312"/>
          <w:bCs/>
          <w:sz w:val="32"/>
          <w:szCs w:val="32"/>
        </w:rPr>
        <w:t>万</w:t>
      </w:r>
      <w:r>
        <w:rPr>
          <w:rFonts w:hint="eastAsia" w:ascii="仿宋_GB2312" w:hAnsi="仿宋_GB2312" w:eastAsia="仿宋_GB2312" w:cs="仿宋_GB2312"/>
          <w:bCs/>
          <w:sz w:val="32"/>
          <w:szCs w:val="32"/>
        </w:rPr>
        <w:t>家。</w:t>
      </w:r>
    </w:p>
    <w:p>
      <w:pPr>
        <w:overflowPunct w:val="0"/>
        <w:adjustRightInd w:val="0"/>
        <w:snapToGrid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重塑高品质产业发展空间。</w:t>
      </w:r>
      <w:r>
        <w:rPr>
          <w:rFonts w:hint="eastAsia" w:ascii="仿宋_GB2312" w:hAnsi="仿宋_GB2312" w:eastAsia="仿宋_GB2312" w:cs="仿宋_GB2312"/>
          <w:sz w:val="32"/>
          <w:szCs w:val="32"/>
        </w:rPr>
        <w:t>推进传统工业区和产业园区向新型产业社区转型，探索建立“产业园区+创新孵化器+产业基金+产业联盟”一体化推进模式，打造一批示范工业园区。推广“定制产业空间”模式，推动由“项目等候空间”到“空间等着项目”，实现有优质项目就有承载空间。完善“分类出让、以房招商、先租后供”产业空间供应市场，建立多层次产业用房保障体系，强化产业空间全生命周期监管。加强工业区块控制线管控，保留提升100平方公里工业区、整备与连片改造100平方公里产业空间。</w:t>
      </w:r>
    </w:p>
    <w:p>
      <w:pPr>
        <w:overflowPunct w:val="0"/>
        <w:adjustRightInd w:val="0"/>
        <w:snapToGrid w:val="0"/>
        <w:spacing w:line="580" w:lineRule="exact"/>
        <w:jc w:val="left"/>
        <w:rPr>
          <w:rFonts w:ascii="楷体" w:hAnsi="楷体" w:eastAsia="楷体" w:cs="楷体"/>
          <w:b/>
          <w:bCs/>
          <w:sz w:val="32"/>
          <w:szCs w:val="32"/>
        </w:rPr>
      </w:pPr>
    </w:p>
    <w:p>
      <w:pPr>
        <w:spacing w:line="580" w:lineRule="exact"/>
        <w:jc w:val="center"/>
        <w:outlineLvl w:val="2"/>
        <w:rPr>
          <w:rFonts w:ascii="楷体" w:hAnsi="楷体" w:eastAsia="楷体" w:cs="楷体"/>
          <w:b/>
          <w:bCs/>
          <w:sz w:val="32"/>
          <w:szCs w:val="32"/>
        </w:rPr>
      </w:pPr>
      <w:bookmarkStart w:id="2868" w:name="_Toc5786"/>
      <w:bookmarkStart w:id="2869" w:name="_Toc2720"/>
      <w:bookmarkStart w:id="2870" w:name="_Toc26117"/>
      <w:bookmarkStart w:id="2871" w:name="_Toc6185"/>
      <w:bookmarkStart w:id="2872" w:name="_Toc27026"/>
      <w:bookmarkStart w:id="2873" w:name="_Toc17828"/>
      <w:bookmarkStart w:id="2874" w:name="_Toc1516"/>
      <w:bookmarkStart w:id="2875" w:name="_Toc31731"/>
      <w:bookmarkStart w:id="2876" w:name="_Toc8298"/>
      <w:bookmarkStart w:id="2877" w:name="_Toc22950"/>
      <w:bookmarkStart w:id="2878" w:name="_Toc1396"/>
      <w:bookmarkStart w:id="2879" w:name="_Toc16198"/>
      <w:bookmarkStart w:id="2880" w:name="_Toc22007"/>
      <w:bookmarkStart w:id="2881" w:name="_Toc7956"/>
      <w:bookmarkStart w:id="2882" w:name="_Toc20001"/>
      <w:bookmarkStart w:id="2883" w:name="_Toc8148"/>
      <w:bookmarkStart w:id="2884" w:name="_Toc11984"/>
      <w:bookmarkStart w:id="2885" w:name="_Toc16122"/>
      <w:bookmarkStart w:id="2886" w:name="_Toc3214"/>
      <w:bookmarkStart w:id="2887" w:name="_Toc18413"/>
      <w:bookmarkStart w:id="2888" w:name="_Toc16852"/>
      <w:bookmarkStart w:id="2889" w:name="_Toc7425"/>
      <w:bookmarkStart w:id="2890" w:name="_Toc14768"/>
      <w:bookmarkStart w:id="2891" w:name="_Toc4682"/>
      <w:bookmarkStart w:id="2892" w:name="_Toc22636"/>
      <w:bookmarkStart w:id="2893" w:name="_Toc3112"/>
      <w:bookmarkStart w:id="2894" w:name="_Toc10566"/>
      <w:bookmarkStart w:id="2895" w:name="_Toc16333"/>
      <w:bookmarkStart w:id="2896" w:name="_Toc28813"/>
      <w:bookmarkStart w:id="2897" w:name="_Toc30991"/>
      <w:bookmarkStart w:id="2898" w:name="_Toc8502"/>
      <w:bookmarkStart w:id="2899" w:name="_Toc6728"/>
      <w:bookmarkStart w:id="2900" w:name="_Toc20360"/>
      <w:bookmarkStart w:id="2901" w:name="_Toc4852"/>
      <w:bookmarkStart w:id="2902" w:name="_Toc17838"/>
      <w:bookmarkStart w:id="2903" w:name="_Toc22661"/>
      <w:bookmarkStart w:id="2904" w:name="_Toc10408"/>
      <w:bookmarkStart w:id="2905" w:name="_Toc12375"/>
      <w:bookmarkStart w:id="2906" w:name="_Toc29599"/>
      <w:bookmarkStart w:id="2907" w:name="_Toc11345"/>
      <w:bookmarkStart w:id="2908" w:name="_Toc11110"/>
      <w:bookmarkStart w:id="2909" w:name="_Toc16960"/>
      <w:bookmarkStart w:id="2910" w:name="_Toc7029"/>
      <w:bookmarkStart w:id="2911" w:name="_Toc17761"/>
      <w:bookmarkStart w:id="2912" w:name="_Toc1917"/>
      <w:bookmarkStart w:id="2913" w:name="_Toc25946"/>
      <w:bookmarkStart w:id="2914" w:name="_Toc13260"/>
      <w:bookmarkStart w:id="2915" w:name="_Toc26109"/>
      <w:r>
        <w:rPr>
          <w:rFonts w:hint="eastAsia" w:ascii="楷体" w:hAnsi="楷体" w:eastAsia="楷体" w:cs="楷体"/>
          <w:b/>
          <w:bCs/>
          <w:sz w:val="32"/>
          <w:szCs w:val="32"/>
        </w:rPr>
        <w:t>第二节 加快发展战略性新兴产业</w:t>
      </w:r>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p>
    <w:p>
      <w:pPr>
        <w:pStyle w:val="39"/>
        <w:overflowPunct w:val="0"/>
        <w:spacing w:line="580" w:lineRule="exact"/>
        <w:ind w:firstLine="643"/>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构筑产业体系新支柱</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发展壮大新一代信息技术、生物医药、数字经济、高端装备制造、新材料、绿色低碳、海洋经济等战略性新兴产业，增强要素保障能力，构建一批战略性新兴产业增长新引擎。</w:t>
      </w:r>
      <w:r>
        <w:rPr>
          <w:rFonts w:hint="eastAsia" w:ascii="仿宋_GB2312" w:hAnsi="仿宋_GB2312" w:eastAsia="仿宋_GB2312" w:cs="仿宋_GB2312"/>
          <w:bCs/>
          <w:sz w:val="32"/>
          <w:szCs w:val="32"/>
        </w:rPr>
        <w:t>保持制造业比重基本稳定，加大高附加值核心工厂布局，适应科技制造小批量、定制化特征，大力发展都市型智造业。实施培育先进制造业集群行动，</w:t>
      </w:r>
      <w:r>
        <w:rPr>
          <w:rFonts w:hint="eastAsia" w:ascii="仿宋_GB2312" w:hAnsi="仿宋_GB2312" w:eastAsia="仿宋_GB2312" w:cs="仿宋_GB2312"/>
          <w:sz w:val="32"/>
          <w:szCs w:val="32"/>
        </w:rPr>
        <w:t>重点发展集成电路、生物医药、新能源汽车、超高清视频、智能制造装备等先进制造业集群</w:t>
      </w:r>
      <w:r>
        <w:rPr>
          <w:rFonts w:hint="eastAsia" w:ascii="仿宋_GB2312" w:hAnsi="仿宋_GB2312" w:eastAsia="仿宋_GB2312" w:cs="仿宋_GB2312"/>
          <w:bCs/>
          <w:sz w:val="32"/>
          <w:szCs w:val="32"/>
        </w:rPr>
        <w:t>。创新集群治理模式，布局建设一批功能完备的产业集群创新综合服务体，构建开放协同的集群配套公共服务体系。</w:t>
      </w:r>
    </w:p>
    <w:p>
      <w:pPr>
        <w:pStyle w:val="39"/>
        <w:overflowPunct w:val="0"/>
        <w:spacing w:line="580" w:lineRule="exact"/>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建设世界级新一代信息技术产业发展高地</w:t>
      </w:r>
      <w:r>
        <w:rPr>
          <w:rFonts w:hint="eastAsia" w:ascii="仿宋_GB2312" w:hAnsi="仿宋_GB2312" w:eastAsia="仿宋_GB2312" w:cs="仿宋_GB2312"/>
          <w:b/>
          <w:sz w:val="32"/>
          <w:szCs w:val="32"/>
        </w:rPr>
        <w:t>。</w:t>
      </w:r>
      <w:r>
        <w:rPr>
          <w:rFonts w:eastAsia="仿宋_GB2312"/>
          <w:bCs/>
          <w:sz w:val="32"/>
          <w:szCs w:val="32"/>
        </w:rPr>
        <w:t>强化集成电路设计能力</w:t>
      </w:r>
      <w:r>
        <w:rPr>
          <w:rFonts w:hint="eastAsia" w:eastAsia="仿宋_GB2312"/>
          <w:bCs/>
          <w:sz w:val="32"/>
          <w:szCs w:val="32"/>
        </w:rPr>
        <w:t>，</w:t>
      </w:r>
      <w:r>
        <w:rPr>
          <w:rFonts w:hint="eastAsia" w:ascii="仿宋_GB2312" w:hAnsi="仿宋_GB2312" w:eastAsia="仿宋_GB2312" w:cs="仿宋_GB2312"/>
          <w:bCs/>
          <w:sz w:val="32"/>
          <w:szCs w:val="32"/>
        </w:rPr>
        <w:t>优化提升</w:t>
      </w:r>
      <w:r>
        <w:rPr>
          <w:rFonts w:ascii="仿宋_GB2312" w:hAnsi="仿宋_GB2312" w:eastAsia="仿宋_GB2312" w:cs="仿宋_GB2312"/>
          <w:bCs/>
          <w:sz w:val="32"/>
          <w:szCs w:val="32"/>
        </w:rPr>
        <w:t>芯片</w:t>
      </w:r>
      <w:r>
        <w:rPr>
          <w:rFonts w:hint="eastAsia" w:ascii="仿宋_GB2312" w:hAnsi="仿宋_GB2312" w:eastAsia="仿宋_GB2312" w:cs="仿宋_GB2312"/>
          <w:bCs/>
          <w:sz w:val="32"/>
          <w:szCs w:val="32"/>
        </w:rPr>
        <w:t>制造</w:t>
      </w:r>
      <w:r>
        <w:rPr>
          <w:rFonts w:ascii="仿宋_GB2312" w:hAnsi="仿宋_GB2312" w:eastAsia="仿宋_GB2312" w:cs="仿宋_GB2312"/>
          <w:bCs/>
          <w:sz w:val="32"/>
          <w:szCs w:val="32"/>
        </w:rPr>
        <w:t>生产线，</w:t>
      </w:r>
      <w:r>
        <w:rPr>
          <w:rFonts w:hint="eastAsia" w:ascii="仿宋_GB2312" w:hAnsi="仿宋_GB2312" w:eastAsia="仿宋_GB2312" w:cs="仿宋_GB2312"/>
          <w:bCs/>
          <w:sz w:val="32"/>
          <w:szCs w:val="32"/>
        </w:rPr>
        <w:t>加快推进中芯国际12英寸晶圆代工生产线建设，积极布局</w:t>
      </w:r>
      <w:r>
        <w:rPr>
          <w:rFonts w:hint="eastAsia" w:eastAsia="仿宋_GB2312"/>
          <w:sz w:val="32"/>
          <w:szCs w:val="32"/>
        </w:rPr>
        <w:t>先进制程</w:t>
      </w:r>
      <w:r>
        <w:rPr>
          <w:rFonts w:hint="eastAsia" w:ascii="仿宋_GB2312" w:hAnsi="仿宋_GB2312" w:eastAsia="仿宋_GB2312" w:cs="仿宋_GB2312"/>
          <w:bCs/>
          <w:sz w:val="32"/>
          <w:szCs w:val="32"/>
        </w:rPr>
        <w:t>集成电路制造项目，增强</w:t>
      </w:r>
      <w:r>
        <w:rPr>
          <w:rFonts w:ascii="仿宋_GB2312" w:hAnsi="仿宋_GB2312" w:eastAsia="仿宋_GB2312" w:cs="仿宋_GB2312"/>
          <w:bCs/>
          <w:sz w:val="32"/>
          <w:szCs w:val="32"/>
        </w:rPr>
        <w:t>封测、设备和材料</w:t>
      </w:r>
      <w:r>
        <w:rPr>
          <w:rFonts w:hint="eastAsia" w:ascii="仿宋_GB2312" w:hAnsi="仿宋_GB2312" w:eastAsia="仿宋_GB2312" w:cs="仿宋_GB2312"/>
          <w:bCs/>
          <w:sz w:val="32"/>
          <w:szCs w:val="32"/>
        </w:rPr>
        <w:t>环节</w:t>
      </w:r>
      <w:r>
        <w:rPr>
          <w:rFonts w:ascii="仿宋_GB2312" w:hAnsi="仿宋_GB2312" w:eastAsia="仿宋_GB2312" w:cs="仿宋_GB2312"/>
          <w:bCs/>
          <w:sz w:val="32"/>
          <w:szCs w:val="32"/>
        </w:rPr>
        <w:t>配套能力</w:t>
      </w:r>
      <w:r>
        <w:rPr>
          <w:rFonts w:hint="eastAsia" w:ascii="仿宋_GB2312" w:hAnsi="仿宋_GB2312" w:eastAsia="仿宋_GB2312" w:cs="仿宋_GB2312"/>
          <w:bCs/>
          <w:sz w:val="32"/>
          <w:szCs w:val="32"/>
        </w:rPr>
        <w:t>，前瞻布局化合物半导体产业，</w:t>
      </w:r>
      <w:r>
        <w:rPr>
          <w:rFonts w:hint="eastAsia" w:ascii="仿宋_GB2312" w:hAnsi="仿宋_GB2312" w:eastAsia="仿宋_GB2312" w:cs="仿宋_GB2312"/>
          <w:sz w:val="32"/>
          <w:szCs w:val="32"/>
        </w:rPr>
        <w:t>高水平建设若干专业集成电路产业园区</w:t>
      </w: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rPr>
        <w:t>推进5G核心技术、关键产品研制，加大应用推广力度，</w:t>
      </w:r>
      <w:r>
        <w:rPr>
          <w:rFonts w:hint="eastAsia" w:ascii="仿宋_GB2312" w:hAnsi="仿宋_GB2312" w:eastAsia="仿宋_GB2312" w:cs="仿宋_GB2312"/>
          <w:sz w:val="32"/>
          <w:szCs w:val="32"/>
        </w:rPr>
        <w:t>打造5G产业引领区。布局8K超高清显示、柔性显示等新型显示领域，</w:t>
      </w:r>
      <w:r>
        <w:rPr>
          <w:rFonts w:eastAsia="仿宋_GB2312"/>
          <w:sz w:val="32"/>
          <w:szCs w:val="32"/>
        </w:rPr>
        <w:t>加速推进激光照明和显示技术产业化</w:t>
      </w:r>
      <w:r>
        <w:rPr>
          <w:rFonts w:hint="eastAsia" w:ascii="仿宋_GB2312" w:hAnsi="仿宋_GB2312" w:eastAsia="仿宋_GB2312" w:cs="仿宋_GB2312"/>
          <w:sz w:val="32"/>
          <w:szCs w:val="32"/>
        </w:rPr>
        <w:t>，打造新型显示技术产业高地。以产业跨界融合和智能化发展为主攻方向，加快构建泛在高效安全的新一代信息网络，建设世界级电子信息产业集群承载区。</w:t>
      </w:r>
    </w:p>
    <w:p>
      <w:pPr>
        <w:pStyle w:val="39"/>
        <w:overflowPunct w:val="0"/>
        <w:spacing w:line="58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加快建设生物医药强市。</w:t>
      </w:r>
      <w:r>
        <w:rPr>
          <w:rFonts w:hint="eastAsia" w:ascii="仿宋_GB2312" w:hAnsi="仿宋_GB2312" w:eastAsia="仿宋_GB2312" w:cs="仿宋_GB2312"/>
          <w:sz w:val="32"/>
          <w:szCs w:val="32"/>
        </w:rPr>
        <w:t>建立多层次基础支撑和共性技术平台，重点突破新型体外诊断产品、新靶点化学药、抗体药物、基因药物等关键技术。加快培育引进行业龙头合同研发机构、合同外包生产机构、合同定制研发生产机构等生物医药产业应用基础平台。加快发展高性能医疗器械，推进国家高性能医疗器械创新中心建设。支持医疗机构开展临床试验，促进临床医疗研究资源向企业有序开放共享。创新发展精准医疗、数字生命健康等前沿交叉领域，加强生物医药领域科学数据中心和监测中心建设，提升基因检测技术水平，加快个体化治疗临床应用，培育数字生命新业态。高标准建设坪山-大鹏粤港澳大湾区生命健康创新示范区。</w:t>
      </w:r>
    </w:p>
    <w:p>
      <w:pPr>
        <w:spacing w:after="156" w:afterLines="50"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提升高端装备制造和新材料等基础产业竞争力。</w:t>
      </w:r>
      <w:r>
        <w:rPr>
          <w:rFonts w:hint="eastAsia" w:ascii="Times New Roman" w:hAnsi="Times New Roman" w:eastAsia="仿宋_GB2312"/>
          <w:sz w:val="32"/>
          <w:szCs w:val="32"/>
        </w:rPr>
        <w:t>提升智能制造装备数字化网络化智能化水平，</w:t>
      </w:r>
      <w:r>
        <w:rPr>
          <w:rFonts w:hint="eastAsia" w:ascii="仿宋_GB2312" w:hAnsi="仿宋_GB2312" w:eastAsia="仿宋_GB2312" w:cs="仿宋_GB2312"/>
          <w:sz w:val="32"/>
          <w:szCs w:val="32"/>
        </w:rPr>
        <w:t>推动智能成套装备及其关键技术发展，加强工业机器人、新型激光器等精密制造装备关键技术攻关和产品开发，打造上下游紧密协同、供应链集约高效的智能制造装备产业集群。顺应新材料高性能化、多功能化、绿色化发展趋势，</w:t>
      </w:r>
      <w:r>
        <w:rPr>
          <w:rFonts w:hint="eastAsia" w:ascii="仿宋_GB2312" w:hAnsi="仿宋_GB2312" w:eastAsia="仿宋_GB2312" w:cs="仿宋_GB2312"/>
          <w:bCs/>
          <w:sz w:val="32"/>
          <w:szCs w:val="32"/>
        </w:rPr>
        <w:t>加快</w:t>
      </w:r>
      <w:r>
        <w:rPr>
          <w:rFonts w:hint="eastAsia" w:ascii="仿宋_GB2312" w:hAnsi="仿宋_GB2312" w:eastAsia="仿宋_GB2312" w:cs="仿宋_GB2312"/>
          <w:sz w:val="32"/>
          <w:szCs w:val="32"/>
        </w:rPr>
        <w:t>电子信息材料、新型生物材料等研发，积极布局石墨烯、超材料等前沿战略材料。</w:t>
      </w:r>
    </w:p>
    <w:tbl>
      <w:tblPr>
        <w:tblStyle w:val="28"/>
        <w:tblW w:w="8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8018" w:type="dxa"/>
            <w:shd w:val="clear" w:color="auto" w:fill="auto"/>
            <w:vAlign w:val="center"/>
          </w:tcPr>
          <w:p>
            <w:pPr>
              <w:pStyle w:val="43"/>
              <w:numPr>
                <w:ilvl w:val="255"/>
                <w:numId w:val="0"/>
              </w:numPr>
              <w:overflowPunct w:val="0"/>
              <w:adjustRightInd w:val="0"/>
              <w:snapToGrid w:val="0"/>
              <w:spacing w:line="400" w:lineRule="exact"/>
              <w:jc w:val="center"/>
              <w:rPr>
                <w:rFonts w:ascii="宋体" w:hAnsi="宋体" w:cs="宋体"/>
                <w:b/>
                <w:color w:val="000000"/>
                <w:sz w:val="24"/>
                <w:lang w:val="zh-CN"/>
              </w:rPr>
            </w:pPr>
            <w:r>
              <w:rPr>
                <w:rFonts w:hint="eastAsia" w:ascii="宋体" w:hAnsi="宋体" w:cs="宋体"/>
                <w:b/>
                <w:color w:val="000000"/>
                <w:sz w:val="24"/>
                <w:lang w:val="zh-CN"/>
              </w:rPr>
              <w:t>专栏</w:t>
            </w:r>
            <w:r>
              <w:rPr>
                <w:rFonts w:hint="eastAsia" w:ascii="宋体" w:hAnsi="宋体" w:cs="宋体"/>
                <w:b/>
                <w:color w:val="000000"/>
                <w:sz w:val="24"/>
              </w:rPr>
              <w:t>8</w:t>
            </w:r>
            <w:r>
              <w:rPr>
                <w:rFonts w:hint="eastAsia" w:ascii="宋体" w:hAnsi="宋体" w:cs="宋体"/>
                <w:b/>
                <w:color w:val="000000"/>
                <w:sz w:val="24"/>
                <w:lang w:val="zh-CN"/>
              </w:rPr>
              <w:t>：战略性新兴产业重点领域</w:t>
            </w:r>
          </w:p>
          <w:p>
            <w:pPr>
              <w:pStyle w:val="43"/>
              <w:numPr>
                <w:ilvl w:val="0"/>
                <w:numId w:val="6"/>
              </w:numPr>
              <w:overflowPunct w:val="0"/>
              <w:adjustRightInd w:val="0"/>
              <w:snapToGrid w:val="0"/>
              <w:spacing w:line="400" w:lineRule="exact"/>
              <w:ind w:firstLineChars="0"/>
              <w:rPr>
                <w:rFonts w:ascii="宋体" w:hAnsi="宋体" w:cs="宋体"/>
                <w:bCs/>
                <w:color w:val="000000"/>
                <w:sz w:val="24"/>
                <w:lang w:val="zh-CN"/>
              </w:rPr>
            </w:pPr>
            <w:r>
              <w:rPr>
                <w:rFonts w:hint="eastAsia" w:ascii="宋体" w:hAnsi="宋体" w:cs="宋体"/>
                <w:b/>
                <w:color w:val="000000"/>
                <w:sz w:val="24"/>
                <w:lang w:val="zh-CN"/>
              </w:rPr>
              <w:t>新一代信息技术：</w:t>
            </w:r>
            <w:r>
              <w:rPr>
                <w:rFonts w:hint="eastAsia" w:ascii="宋体" w:hAnsi="宋体" w:cs="宋体"/>
                <w:bCs/>
                <w:color w:val="000000"/>
                <w:sz w:val="24"/>
                <w:lang w:val="zh-CN"/>
              </w:rPr>
              <w:t>重点发展集成电路、5G、人工智能、新型显示四大产业细分领域，深化物联网发展应用，前瞻布局柔性电子、量子信息等前沿高端领域。</w:t>
            </w:r>
          </w:p>
          <w:p>
            <w:pPr>
              <w:pStyle w:val="43"/>
              <w:numPr>
                <w:ilvl w:val="0"/>
                <w:numId w:val="6"/>
              </w:numPr>
              <w:overflowPunct w:val="0"/>
              <w:adjustRightInd w:val="0"/>
              <w:snapToGrid w:val="0"/>
              <w:spacing w:line="400" w:lineRule="exact"/>
              <w:ind w:firstLineChars="0"/>
              <w:rPr>
                <w:rFonts w:ascii="宋体" w:hAnsi="宋体" w:cs="宋体"/>
                <w:bCs/>
                <w:color w:val="000000"/>
                <w:sz w:val="24"/>
                <w:lang w:val="zh-CN"/>
              </w:rPr>
            </w:pPr>
            <w:r>
              <w:rPr>
                <w:rFonts w:hint="eastAsia" w:ascii="宋体" w:hAnsi="宋体" w:cs="宋体"/>
                <w:b/>
                <w:color w:val="000000"/>
                <w:sz w:val="24"/>
                <w:lang w:val="zh-CN"/>
              </w:rPr>
              <w:t>生物医药：</w:t>
            </w:r>
            <w:r>
              <w:rPr>
                <w:rFonts w:hint="eastAsia" w:ascii="宋体" w:hAnsi="宋体" w:cs="宋体"/>
                <w:bCs/>
                <w:color w:val="000000"/>
                <w:sz w:val="24"/>
                <w:lang w:val="zh-CN"/>
              </w:rPr>
              <w:t>加快发展新型抗体等生物药和干细胞等生物治疗产品，发展医学影像设备、体外诊断设备等高端医疗器械设备，突破高通量测序技术、基因组DNA序列分析技术等，前瞻布局精准医学成像等前沿领域。</w:t>
            </w:r>
          </w:p>
          <w:p>
            <w:pPr>
              <w:pStyle w:val="43"/>
              <w:numPr>
                <w:ilvl w:val="0"/>
                <w:numId w:val="6"/>
              </w:numPr>
              <w:overflowPunct w:val="0"/>
              <w:adjustRightInd w:val="0"/>
              <w:snapToGrid w:val="0"/>
              <w:spacing w:line="400" w:lineRule="exact"/>
              <w:ind w:firstLineChars="0"/>
              <w:rPr>
                <w:rFonts w:ascii="宋体" w:hAnsi="宋体" w:cs="宋体"/>
                <w:bCs/>
                <w:color w:val="000000"/>
                <w:sz w:val="24"/>
                <w:lang w:val="zh-CN"/>
              </w:rPr>
            </w:pPr>
            <w:r>
              <w:rPr>
                <w:rFonts w:hint="eastAsia" w:ascii="宋体" w:hAnsi="宋体" w:cs="宋体"/>
                <w:b/>
                <w:color w:val="000000"/>
                <w:sz w:val="24"/>
                <w:lang w:val="zh-CN"/>
              </w:rPr>
              <w:t>数字经济：</w:t>
            </w:r>
            <w:r>
              <w:rPr>
                <w:rFonts w:hint="eastAsia" w:ascii="宋体" w:hAnsi="宋体" w:cs="宋体"/>
                <w:bCs/>
                <w:color w:val="000000"/>
                <w:sz w:val="24"/>
                <w:lang w:val="zh-CN"/>
              </w:rPr>
              <w:t>重点开展高端工业软件、重点领域应用软件、自主可控区块链底层架构等关键领域核心技术攻关。重点围绕工业互联网、软件与信息服务业、大数据和云计算等领域，布局未来网络试验设施等重大项目，构建基于海量数据采集、汇聚、分析的服务体系。</w:t>
            </w:r>
          </w:p>
          <w:p>
            <w:pPr>
              <w:pStyle w:val="43"/>
              <w:numPr>
                <w:ilvl w:val="0"/>
                <w:numId w:val="6"/>
              </w:numPr>
              <w:overflowPunct w:val="0"/>
              <w:adjustRightInd w:val="0"/>
              <w:snapToGrid w:val="0"/>
              <w:spacing w:line="400" w:lineRule="exact"/>
              <w:ind w:firstLineChars="0"/>
              <w:rPr>
                <w:rFonts w:ascii="宋体" w:hAnsi="宋体" w:cs="宋体"/>
                <w:bCs/>
                <w:color w:val="000000"/>
                <w:sz w:val="24"/>
                <w:lang w:val="zh-CN"/>
              </w:rPr>
            </w:pPr>
            <w:r>
              <w:rPr>
                <w:rFonts w:hint="eastAsia" w:ascii="宋体" w:hAnsi="宋体" w:cs="宋体"/>
                <w:b/>
                <w:color w:val="000000"/>
                <w:sz w:val="24"/>
                <w:lang w:val="zh-CN"/>
              </w:rPr>
              <w:t>高端装备制造：</w:t>
            </w:r>
            <w:r>
              <w:rPr>
                <w:rFonts w:hint="eastAsia" w:ascii="宋体" w:hAnsi="宋体" w:cs="宋体"/>
                <w:bCs/>
                <w:color w:val="000000"/>
                <w:sz w:val="24"/>
                <w:lang w:val="zh-CN"/>
              </w:rPr>
              <w:t>重点发展工业母机、工业机器人等智能装备领域，攻关先进感知与测量等技术，鼓励智能制造技术、工艺及产品在制造业领域深入应用，加快发展智能网联汽车，建设3D打印制造业创新中心。</w:t>
            </w:r>
          </w:p>
          <w:p>
            <w:pPr>
              <w:pStyle w:val="43"/>
              <w:numPr>
                <w:ilvl w:val="0"/>
                <w:numId w:val="6"/>
              </w:numPr>
              <w:overflowPunct w:val="0"/>
              <w:adjustRightInd w:val="0"/>
              <w:snapToGrid w:val="0"/>
              <w:spacing w:line="400" w:lineRule="exact"/>
              <w:ind w:firstLineChars="0"/>
              <w:rPr>
                <w:rFonts w:ascii="宋体" w:hAnsi="宋体" w:cs="宋体"/>
                <w:bCs/>
                <w:color w:val="000000"/>
                <w:sz w:val="24"/>
                <w:lang w:val="zh-CN"/>
              </w:rPr>
            </w:pPr>
            <w:r>
              <w:rPr>
                <w:rFonts w:hint="eastAsia" w:ascii="宋体" w:hAnsi="宋体" w:cs="宋体"/>
                <w:b/>
                <w:color w:val="000000"/>
                <w:sz w:val="24"/>
                <w:lang w:val="zh-CN"/>
              </w:rPr>
              <w:t>新材料：</w:t>
            </w:r>
            <w:r>
              <w:rPr>
                <w:rFonts w:hint="eastAsia" w:ascii="宋体" w:hAnsi="宋体" w:cs="宋体"/>
                <w:bCs/>
                <w:color w:val="000000"/>
                <w:sz w:val="24"/>
                <w:lang w:val="zh-CN"/>
              </w:rPr>
              <w:t>重点开展高端电子化学品、第三代半导体材料、功能性有机发光材料等关键材料设计与制备工艺攻关，强化高性能储能、先进节能环保等材料技术创新能力，推进生物医学材料临床应用，发展高分子材料等结构材料和功能材料，前瞻布局石墨烯、微纳米材料等领域。</w:t>
            </w:r>
          </w:p>
          <w:p>
            <w:pPr>
              <w:pStyle w:val="43"/>
              <w:numPr>
                <w:ilvl w:val="0"/>
                <w:numId w:val="6"/>
              </w:numPr>
              <w:overflowPunct w:val="0"/>
              <w:adjustRightInd w:val="0"/>
              <w:snapToGrid w:val="0"/>
              <w:spacing w:line="400" w:lineRule="exact"/>
              <w:ind w:firstLineChars="0"/>
              <w:rPr>
                <w:rFonts w:ascii="宋体" w:hAnsi="宋体" w:cs="宋体"/>
                <w:bCs/>
                <w:color w:val="000000"/>
                <w:sz w:val="24"/>
                <w:lang w:val="zh-CN"/>
              </w:rPr>
            </w:pPr>
            <w:r>
              <w:rPr>
                <w:rFonts w:hint="eastAsia" w:ascii="宋体" w:hAnsi="宋体" w:cs="宋体"/>
                <w:b/>
                <w:color w:val="000000"/>
                <w:sz w:val="24"/>
                <w:lang w:val="zh-CN"/>
              </w:rPr>
              <w:t>海洋经济：</w:t>
            </w:r>
            <w:r>
              <w:rPr>
                <w:rFonts w:hint="eastAsia" w:ascii="宋体" w:hAnsi="宋体" w:cs="宋体"/>
                <w:bCs/>
                <w:color w:val="000000"/>
                <w:sz w:val="24"/>
                <w:lang w:val="zh-CN"/>
              </w:rPr>
              <w:t>重点发展海洋电子信息、海工装备、海洋生物医药、海水淡化及综合利用、海洋新能源新材料、涉海高端服务等产业。</w:t>
            </w:r>
          </w:p>
          <w:p>
            <w:pPr>
              <w:pStyle w:val="43"/>
              <w:numPr>
                <w:ilvl w:val="0"/>
                <w:numId w:val="6"/>
              </w:numPr>
              <w:overflowPunct w:val="0"/>
              <w:adjustRightInd w:val="0"/>
              <w:snapToGrid w:val="0"/>
              <w:spacing w:line="400" w:lineRule="exact"/>
              <w:ind w:firstLineChars="0"/>
              <w:rPr>
                <w:rFonts w:ascii="宋体" w:hAnsi="宋体" w:cs="宋体"/>
                <w:bCs/>
                <w:color w:val="000000"/>
                <w:sz w:val="24"/>
              </w:rPr>
            </w:pPr>
            <w:r>
              <w:rPr>
                <w:rFonts w:hint="eastAsia" w:ascii="宋体" w:hAnsi="宋体" w:cs="宋体"/>
                <w:b/>
                <w:color w:val="000000"/>
                <w:sz w:val="24"/>
                <w:lang w:val="zh-CN"/>
              </w:rPr>
              <w:t>绿色低碳：</w:t>
            </w:r>
            <w:r>
              <w:rPr>
                <w:rFonts w:hint="eastAsia" w:ascii="宋体" w:hAnsi="宋体" w:cs="宋体"/>
                <w:bCs/>
                <w:color w:val="000000"/>
                <w:sz w:val="24"/>
                <w:lang w:val="zh-CN"/>
              </w:rPr>
              <w:t>积极发展新能源汽车产业，大力发展先进核电、可再生能源、高效储能、氢能与燃料电池、智能电网、智慧能源等领域，加强节能关键技术攻关，支持先进适用环保技术装备研发和产业化。</w:t>
            </w:r>
          </w:p>
        </w:tc>
      </w:tr>
    </w:tbl>
    <w:p>
      <w:bookmarkStart w:id="2916" w:name="_Toc18326"/>
      <w:bookmarkStart w:id="2917" w:name="_Toc17918"/>
      <w:bookmarkStart w:id="2918" w:name="_Toc29699"/>
      <w:bookmarkStart w:id="2919" w:name="_Toc16596"/>
      <w:bookmarkStart w:id="2920" w:name="_Toc16708"/>
      <w:bookmarkStart w:id="2921" w:name="_Toc24310"/>
      <w:bookmarkStart w:id="2922" w:name="_Toc15024"/>
      <w:bookmarkStart w:id="2923" w:name="_Toc32057"/>
      <w:bookmarkStart w:id="2924" w:name="_Toc28032"/>
      <w:bookmarkStart w:id="2925" w:name="_Toc18476"/>
      <w:bookmarkStart w:id="2926" w:name="_Toc29041"/>
      <w:bookmarkStart w:id="2927" w:name="_Toc11611"/>
      <w:bookmarkStart w:id="2928" w:name="_Toc15369"/>
      <w:bookmarkStart w:id="2929" w:name="_Toc15246"/>
      <w:bookmarkStart w:id="2930" w:name="_Toc10249"/>
      <w:bookmarkStart w:id="2931" w:name="_Toc24709"/>
      <w:bookmarkStart w:id="2932" w:name="_Toc26329"/>
      <w:bookmarkStart w:id="2933" w:name="_Toc7455"/>
      <w:bookmarkStart w:id="2934" w:name="_Toc22942"/>
      <w:bookmarkStart w:id="2935" w:name="_Toc10314"/>
      <w:bookmarkStart w:id="2936" w:name="_Toc20858"/>
      <w:bookmarkStart w:id="2937" w:name="_Toc11621"/>
      <w:bookmarkStart w:id="2938" w:name="_Toc14379"/>
      <w:bookmarkStart w:id="2939" w:name="_Toc32238"/>
      <w:bookmarkStart w:id="2940" w:name="_Toc32065"/>
      <w:bookmarkStart w:id="2941" w:name="_Toc14234"/>
      <w:bookmarkStart w:id="2942" w:name="_Toc13942"/>
      <w:bookmarkStart w:id="2943" w:name="_Toc32652"/>
      <w:bookmarkStart w:id="2944" w:name="_Toc29331"/>
      <w:bookmarkStart w:id="2945" w:name="_Toc26596"/>
      <w:bookmarkStart w:id="2946" w:name="_Toc17854"/>
      <w:bookmarkStart w:id="2947" w:name="_Toc9214"/>
      <w:bookmarkStart w:id="2948" w:name="_Toc15956"/>
      <w:bookmarkStart w:id="2949" w:name="_Toc27355"/>
      <w:bookmarkStart w:id="2950" w:name="_Toc20662"/>
      <w:bookmarkStart w:id="2951" w:name="_Toc8192"/>
      <w:bookmarkStart w:id="2952" w:name="_Toc28141"/>
      <w:bookmarkStart w:id="2953" w:name="_Toc16695"/>
      <w:bookmarkStart w:id="2954" w:name="_Toc26532"/>
      <w:bookmarkStart w:id="2955" w:name="_Toc30216"/>
      <w:bookmarkStart w:id="2956" w:name="_Toc7666"/>
      <w:bookmarkStart w:id="2957" w:name="_Toc5759"/>
      <w:bookmarkStart w:id="2958" w:name="_Toc4945"/>
      <w:bookmarkStart w:id="2959" w:name="_Toc7073"/>
      <w:bookmarkStart w:id="2960" w:name="_Toc6432"/>
      <w:bookmarkStart w:id="2961" w:name="_Toc9322"/>
      <w:bookmarkStart w:id="2962" w:name="_Toc27010"/>
    </w:p>
    <w:p>
      <w:pPr>
        <w:spacing w:line="600" w:lineRule="exact"/>
        <w:jc w:val="center"/>
        <w:outlineLvl w:val="2"/>
        <w:rPr>
          <w:rFonts w:ascii="楷体" w:hAnsi="楷体" w:eastAsia="楷体" w:cs="楷体"/>
          <w:b/>
          <w:bCs/>
          <w:sz w:val="32"/>
          <w:szCs w:val="32"/>
        </w:rPr>
      </w:pPr>
      <w:bookmarkStart w:id="2963" w:name="_Toc19250"/>
      <w:r>
        <w:rPr>
          <w:rFonts w:hint="eastAsia" w:ascii="楷体" w:hAnsi="楷体" w:eastAsia="楷体" w:cs="楷体"/>
          <w:b/>
          <w:bCs/>
          <w:sz w:val="32"/>
          <w:szCs w:val="32"/>
        </w:rPr>
        <w:t>第三节 构建未来产业策源地</w:t>
      </w:r>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p>
    <w:p>
      <w:pPr>
        <w:overflowPunct w:val="0"/>
        <w:adjustRightInd w:val="0"/>
        <w:snapToGrid w:val="0"/>
        <w:spacing w:line="600" w:lineRule="exact"/>
        <w:ind w:firstLine="643" w:firstLineChars="200"/>
        <w:rPr>
          <w:rFonts w:ascii="仿宋_GB2312" w:hAnsi="Arial" w:eastAsia="仿宋_GB2312" w:cs="Arial"/>
          <w:kern w:val="0"/>
          <w:sz w:val="32"/>
          <w:szCs w:val="32"/>
        </w:rPr>
      </w:pPr>
      <w:r>
        <w:rPr>
          <w:rFonts w:hint="eastAsia" w:ascii="仿宋_GB2312" w:hAnsi="仿宋_GB2312" w:eastAsia="仿宋_GB2312" w:cs="仿宋_GB2312"/>
          <w:b/>
          <w:bCs/>
          <w:kern w:val="0"/>
          <w:sz w:val="32"/>
          <w:szCs w:val="32"/>
        </w:rPr>
        <w:t>打造全球新技术新产品率先应用推广高地</w:t>
      </w:r>
      <w:r>
        <w:rPr>
          <w:rFonts w:hint="eastAsia" w:ascii="仿宋_GB2312" w:hAnsi="仿宋_GB2312" w:eastAsia="仿宋_GB2312" w:cs="仿宋_GB2312"/>
          <w:b/>
          <w:kern w:val="0"/>
          <w:sz w:val="32"/>
          <w:szCs w:val="32"/>
        </w:rPr>
        <w:t>。</w:t>
      </w:r>
      <w:r>
        <w:rPr>
          <w:rFonts w:hint="eastAsia" w:ascii="仿宋_GB2312" w:hAnsi="仿宋_GB2312" w:eastAsia="仿宋_GB2312" w:cs="仿宋_GB2312"/>
          <w:kern w:val="0"/>
          <w:sz w:val="32"/>
          <w:szCs w:val="32"/>
        </w:rPr>
        <w:t>开展新经济市场准入和监管体制机制改革试点，定期编制新产品新技术应用推广目录，实施更具弹性的审慎包容监管制度。支持新技术新产品研发与应用示范，</w:t>
      </w:r>
      <w:r>
        <w:rPr>
          <w:rFonts w:hint="eastAsia" w:ascii="仿宋_GB2312" w:hAnsi="仿宋_GB2312" w:eastAsia="仿宋_GB2312" w:cs="仿宋_GB2312"/>
          <w:bCs/>
          <w:sz w:val="32"/>
          <w:szCs w:val="32"/>
        </w:rPr>
        <w:t>推动</w:t>
      </w:r>
      <w:r>
        <w:rPr>
          <w:rFonts w:ascii="仿宋_GB2312" w:hAnsi="仿宋_GB2312" w:eastAsia="仿宋_GB2312" w:cs="仿宋_GB2312"/>
          <w:bCs/>
          <w:sz w:val="32"/>
          <w:szCs w:val="32"/>
        </w:rPr>
        <w:t>重大技术</w:t>
      </w:r>
      <w:r>
        <w:rPr>
          <w:rFonts w:hint="eastAsia" w:ascii="仿宋_GB2312" w:hAnsi="仿宋_GB2312" w:eastAsia="仿宋_GB2312" w:cs="仿宋_GB2312"/>
          <w:bCs/>
          <w:sz w:val="32"/>
          <w:szCs w:val="32"/>
        </w:rPr>
        <w:t>装备</w:t>
      </w:r>
      <w:r>
        <w:rPr>
          <w:rFonts w:ascii="仿宋_GB2312" w:hAnsi="仿宋_GB2312" w:eastAsia="仿宋_GB2312" w:cs="仿宋_GB2312"/>
          <w:bCs/>
          <w:sz w:val="32"/>
          <w:szCs w:val="32"/>
        </w:rPr>
        <w:t>首台（</w:t>
      </w:r>
      <w:r>
        <w:rPr>
          <w:rFonts w:hint="eastAsia" w:ascii="仿宋_GB2312" w:hAnsi="仿宋_GB2312" w:eastAsia="仿宋_GB2312" w:cs="仿宋_GB2312"/>
          <w:bCs/>
          <w:sz w:val="32"/>
          <w:szCs w:val="32"/>
        </w:rPr>
        <w:t>套</w:t>
      </w: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新材料首批次、软件首版次推广应用，</w:t>
      </w:r>
      <w:r>
        <w:rPr>
          <w:rFonts w:hint="eastAsia" w:ascii="仿宋_GB2312" w:hAnsi="仿宋_GB2312" w:eastAsia="仿宋_GB2312" w:cs="仿宋_GB2312"/>
          <w:kern w:val="0"/>
          <w:sz w:val="32"/>
          <w:szCs w:val="32"/>
        </w:rPr>
        <w:t>实施</w:t>
      </w:r>
      <w:r>
        <w:rPr>
          <w:rFonts w:ascii="仿宋_GB2312" w:hAnsi="仿宋_GB2312" w:eastAsia="仿宋_GB2312" w:cs="仿宋_GB2312"/>
          <w:bCs/>
          <w:sz w:val="32"/>
          <w:szCs w:val="32"/>
        </w:rPr>
        <w:t>首台（</w:t>
      </w:r>
      <w:r>
        <w:rPr>
          <w:rFonts w:hint="eastAsia" w:ascii="仿宋_GB2312" w:hAnsi="仿宋_GB2312" w:eastAsia="仿宋_GB2312" w:cs="仿宋_GB2312"/>
          <w:bCs/>
          <w:sz w:val="32"/>
          <w:szCs w:val="32"/>
        </w:rPr>
        <w:t>套</w:t>
      </w:r>
      <w:r>
        <w:rPr>
          <w:rFonts w:ascii="仿宋_GB2312" w:hAnsi="仿宋_GB2312" w:eastAsia="仿宋_GB2312" w:cs="仿宋_GB2312"/>
          <w:bCs/>
          <w:sz w:val="32"/>
          <w:szCs w:val="32"/>
        </w:rPr>
        <w:t>）重大技术</w:t>
      </w:r>
      <w:r>
        <w:rPr>
          <w:rFonts w:hint="eastAsia" w:ascii="仿宋_GB2312" w:hAnsi="仿宋_GB2312" w:eastAsia="仿宋_GB2312" w:cs="仿宋_GB2312"/>
          <w:bCs/>
          <w:sz w:val="32"/>
          <w:szCs w:val="32"/>
        </w:rPr>
        <w:t>装备保险补偿</w:t>
      </w:r>
      <w:r>
        <w:rPr>
          <w:rFonts w:hint="eastAsia" w:ascii="仿宋_GB2312" w:hAnsi="仿宋_GB2312" w:eastAsia="仿宋_GB2312" w:cs="仿宋_GB2312"/>
          <w:kern w:val="0"/>
          <w:sz w:val="32"/>
          <w:szCs w:val="32"/>
        </w:rPr>
        <w:t>。探索新技术新产品分阶段分类管理模式，选定若干区域开展新经济试验，催生一批具有国际影响力的新技术新产品。加快推进构建一体化国家战略体系和能力</w:t>
      </w:r>
      <w:r>
        <w:rPr>
          <w:rFonts w:hint="eastAsia" w:ascii="仿宋_GB2312" w:hAnsi="Arial" w:eastAsia="仿宋_GB2312" w:cs="Arial"/>
          <w:kern w:val="0"/>
          <w:sz w:val="32"/>
          <w:szCs w:val="32"/>
        </w:rPr>
        <w:t>，引导和促进“民参军”“军转民”，推动军民科技成果双向转化体系建设。</w:t>
      </w:r>
    </w:p>
    <w:p>
      <w:pPr>
        <w:overflowPunct w:val="0"/>
        <w:adjustRightInd w:val="0"/>
        <w:snapToGrid w:val="0"/>
        <w:spacing w:line="600" w:lineRule="exact"/>
        <w:ind w:firstLine="643" w:firstLineChars="200"/>
        <w:rPr>
          <w:rFonts w:ascii="仿宋_GB2312" w:hAnsi="Arial" w:eastAsia="仿宋_GB2312" w:cs="Arial"/>
          <w:kern w:val="0"/>
          <w:sz w:val="32"/>
          <w:szCs w:val="32"/>
        </w:rPr>
      </w:pPr>
      <w:r>
        <w:rPr>
          <w:rFonts w:hint="eastAsia" w:ascii="仿宋_GB2312" w:hAnsi="仿宋_GB2312" w:eastAsia="仿宋_GB2312" w:cs="仿宋_GB2312"/>
          <w:b/>
          <w:bCs/>
          <w:kern w:val="0"/>
          <w:sz w:val="32"/>
          <w:szCs w:val="32"/>
        </w:rPr>
        <w:t>实施未来产业引领计划。</w:t>
      </w:r>
      <w:r>
        <w:rPr>
          <w:rFonts w:hint="eastAsia" w:ascii="仿宋_GB2312" w:hAnsi="仿宋_GB2312" w:eastAsia="仿宋_GB2312" w:cs="仿宋_GB2312"/>
          <w:kern w:val="0"/>
          <w:sz w:val="32"/>
          <w:szCs w:val="32"/>
        </w:rPr>
        <w:t>开展对产业变革趋势和重大技术的预见，前瞻布局前沿技术创新领域，搭建现实应用模拟场景，打造一批未来产业策源地。加强6G通信网络关键技术和网络架构前期研究，重点研究支持6G时代超高速数据流的新型内容分发和传送技术。强化量子科技发展系统布局，</w:t>
      </w:r>
      <w:r>
        <w:rPr>
          <w:rFonts w:hint="eastAsia" w:ascii="仿宋_GB2312" w:hAnsi="Arial" w:eastAsia="仿宋_GB2312" w:cs="Arial"/>
          <w:kern w:val="0"/>
          <w:sz w:val="32"/>
          <w:szCs w:val="32"/>
        </w:rPr>
        <w:t>重点培育量子通信、量子计算等细分产业。参与国家深海科学研究，攻关深海进入、深海探测、深海开发方面关键技术，研制深海空间站、全海深潜水器等重大装备。参与国家深空探测及空间飞行器在轨服务与维护系统研制，深化北斗系统推广应用，支持高通量卫星宽带通信系统发展。开展电解水制氢、固态储氢、电堆以及动力总成等关键技术攻关，积极构建氢能产业创新体系。</w:t>
      </w:r>
    </w:p>
    <w:p>
      <w:pPr>
        <w:spacing w:line="600" w:lineRule="exact"/>
        <w:jc w:val="center"/>
        <w:outlineLvl w:val="2"/>
        <w:rPr>
          <w:rFonts w:ascii="楷体" w:hAnsi="楷体" w:eastAsia="楷体" w:cs="楷体"/>
          <w:b/>
          <w:bCs/>
          <w:sz w:val="32"/>
          <w:szCs w:val="32"/>
        </w:rPr>
      </w:pPr>
      <w:bookmarkStart w:id="2964" w:name="_Toc7673"/>
      <w:bookmarkStart w:id="2965" w:name="_Toc31741"/>
      <w:bookmarkStart w:id="2966" w:name="_Toc13611"/>
      <w:bookmarkStart w:id="2967" w:name="_Toc25421"/>
      <w:bookmarkStart w:id="2968" w:name="_Toc1351"/>
      <w:bookmarkStart w:id="2969" w:name="_Toc11251"/>
      <w:bookmarkStart w:id="2970" w:name="_Toc1564"/>
      <w:bookmarkStart w:id="2971" w:name="_Toc18312"/>
      <w:bookmarkStart w:id="2972" w:name="_Toc2847"/>
      <w:bookmarkStart w:id="2973" w:name="_Toc21761"/>
      <w:bookmarkStart w:id="2974" w:name="_Toc31313"/>
      <w:bookmarkStart w:id="2975" w:name="_Toc2912"/>
      <w:bookmarkStart w:id="2976" w:name="_Toc9446"/>
      <w:bookmarkStart w:id="2977" w:name="_Toc14931"/>
      <w:bookmarkStart w:id="2978" w:name="_Toc12467"/>
      <w:bookmarkStart w:id="2979" w:name="_Toc16832"/>
      <w:bookmarkStart w:id="2980" w:name="_Toc22215"/>
      <w:bookmarkStart w:id="2981" w:name="_Toc14096"/>
      <w:bookmarkStart w:id="2982" w:name="_Toc16898"/>
      <w:bookmarkStart w:id="2983" w:name="_Toc17859"/>
      <w:bookmarkStart w:id="2984" w:name="_Toc3572"/>
      <w:bookmarkStart w:id="2985" w:name="_Toc12316"/>
      <w:bookmarkStart w:id="2986" w:name="_Toc6511"/>
      <w:bookmarkStart w:id="2987" w:name="_Toc10602"/>
      <w:bookmarkStart w:id="2988" w:name="_Toc31927"/>
      <w:bookmarkStart w:id="2989" w:name="_Toc20652"/>
      <w:bookmarkStart w:id="2990" w:name="_Toc1841"/>
      <w:bookmarkStart w:id="2991" w:name="_Toc29884"/>
      <w:bookmarkStart w:id="2992" w:name="_Toc22245"/>
      <w:bookmarkStart w:id="2993" w:name="_Toc10001"/>
      <w:bookmarkStart w:id="2994" w:name="_Toc8345"/>
      <w:bookmarkStart w:id="2995" w:name="_Toc9802"/>
      <w:bookmarkStart w:id="2996" w:name="_Toc14763"/>
      <w:bookmarkStart w:id="2997" w:name="_Toc11325"/>
      <w:bookmarkStart w:id="2998" w:name="_Toc25094"/>
      <w:bookmarkStart w:id="2999" w:name="_Toc1621"/>
      <w:bookmarkStart w:id="3000" w:name="_Toc13215"/>
      <w:r>
        <w:rPr>
          <w:rFonts w:hint="eastAsia" w:ascii="楷体" w:hAnsi="楷体" w:eastAsia="楷体" w:cs="楷体"/>
          <w:b/>
          <w:bCs/>
          <w:sz w:val="32"/>
          <w:szCs w:val="32"/>
        </w:rPr>
        <w:t>第四节 建设全球金融创新中心</w:t>
      </w:r>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p>
    <w:p>
      <w:pPr>
        <w:spacing w:line="600" w:lineRule="exact"/>
        <w:ind w:firstLine="643" w:firstLineChars="200"/>
        <w:rPr>
          <w:rFonts w:ascii="仿宋_GB2312" w:hAnsi="仿宋_GB2312" w:eastAsia="仿宋_GB2312" w:cs="仿宋_GB2312"/>
          <w:sz w:val="32"/>
        </w:rPr>
      </w:pPr>
      <w:r>
        <w:rPr>
          <w:rFonts w:hint="eastAsia" w:ascii="仿宋_GB2312" w:hAnsi="仿宋_GB2312" w:eastAsia="仿宋_GB2312" w:cs="仿宋_GB2312"/>
          <w:b/>
          <w:bCs/>
          <w:sz w:val="32"/>
        </w:rPr>
        <w:t>打造</w:t>
      </w:r>
      <w:r>
        <w:rPr>
          <w:rFonts w:hint="eastAsia" w:ascii="仿宋_GB2312" w:hAnsi="仿宋_GB2312" w:eastAsia="仿宋_GB2312" w:cs="仿宋_GB2312"/>
          <w:b/>
          <w:bCs/>
          <w:sz w:val="32"/>
          <w:szCs w:val="32"/>
        </w:rPr>
        <w:t>全球创新资本形成中心</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支持深圳证券交易所建设优质创新资本中心和世界一流交易所，深化创业板注册制改革，试点创新企业境内发行股票或存托凭证，健全多层次资本市场体系，打造科技创新企业直接融资高地。</w:t>
      </w:r>
      <w:r>
        <w:rPr>
          <w:rFonts w:hint="eastAsia" w:ascii="仿宋_GB2312" w:hAnsi="仿宋_GB2312" w:eastAsia="仿宋_GB2312" w:cs="仿宋_GB2312"/>
          <w:sz w:val="32"/>
          <w:szCs w:val="32"/>
          <w:lang w:val="zh-CN"/>
        </w:rPr>
        <w:t>提升金融结构与经济结构匹配度，</w:t>
      </w:r>
      <w:r>
        <w:rPr>
          <w:rFonts w:hint="eastAsia" w:ascii="仿宋_GB2312" w:hAnsi="仿宋_GB2312" w:eastAsia="仿宋_GB2312" w:cs="仿宋_GB2312"/>
          <w:sz w:val="32"/>
          <w:szCs w:val="32"/>
        </w:rPr>
        <w:t>构建金融有效支持实体经济的体制机制，</w:t>
      </w:r>
      <w:r>
        <w:rPr>
          <w:rFonts w:hint="eastAsia" w:ascii="仿宋_GB2312" w:hAnsi="仿宋_GB2312" w:eastAsia="仿宋_GB2312" w:cs="仿宋_GB2312"/>
          <w:sz w:val="32"/>
          <w:szCs w:val="32"/>
          <w:lang w:val="zh-CN"/>
        </w:rPr>
        <w:t>推动设立以中小微和民营企业为主要服务对象的金融机构，着力增加制造业中长期融资。</w:t>
      </w:r>
      <w:r>
        <w:rPr>
          <w:rFonts w:hint="eastAsia" w:ascii="仿宋_GB2312" w:eastAsia="仿宋_GB2312"/>
          <w:bCs/>
          <w:sz w:val="32"/>
        </w:rPr>
        <w:t>完善金融支持科技创新的体制机制，积极探索多样化的科技金融服务模式，推动创建科技金融合作示范区。优化私募基金、创业投资企业等市场准入和发展环境，建立覆盖天使投资、风险投资、股权投资、并购投资等在内的完整科技金融服务体系，</w:t>
      </w:r>
      <w:r>
        <w:rPr>
          <w:rFonts w:hint="eastAsia" w:ascii="仿宋_GB2312" w:hAnsi="仿宋" w:eastAsia="仿宋_GB2312" w:cs="仿宋"/>
          <w:sz w:val="32"/>
          <w:szCs w:val="32"/>
        </w:rPr>
        <w:t>打造</w:t>
      </w:r>
      <w:r>
        <w:rPr>
          <w:rFonts w:ascii="仿宋_GB2312" w:hAnsi="仿宋" w:eastAsia="仿宋_GB2312" w:cs="仿宋"/>
          <w:sz w:val="32"/>
          <w:szCs w:val="32"/>
        </w:rPr>
        <w:t>最活跃的国际风投创投</w:t>
      </w:r>
      <w:r>
        <w:rPr>
          <w:rFonts w:hint="eastAsia" w:ascii="仿宋_GB2312" w:hAnsi="仿宋" w:eastAsia="仿宋_GB2312" w:cs="仿宋"/>
          <w:sz w:val="32"/>
          <w:szCs w:val="32"/>
        </w:rPr>
        <w:t>之都。</w:t>
      </w:r>
      <w:r>
        <w:rPr>
          <w:rFonts w:hint="eastAsia" w:ascii="仿宋_GB2312" w:eastAsia="仿宋_GB2312"/>
          <w:bCs/>
          <w:sz w:val="32"/>
        </w:rPr>
        <w:t>大力发展跨境资产管理业务，打造国际一流财富管理中心。</w:t>
      </w:r>
      <w:r>
        <w:rPr>
          <w:rFonts w:hint="eastAsia" w:ascii="仿宋_GB2312" w:hAnsi="仿宋" w:eastAsia="仿宋_GB2312" w:cs="仿宋"/>
          <w:sz w:val="32"/>
          <w:szCs w:val="32"/>
        </w:rPr>
        <w:t>到2025年，金融业增加值占GDP比重达15%左右。</w:t>
      </w:r>
    </w:p>
    <w:p>
      <w:pPr>
        <w:pStyle w:val="8"/>
        <w:spacing w:line="600" w:lineRule="exact"/>
        <w:ind w:firstLine="643"/>
        <w:rPr>
          <w:rFonts w:ascii="仿宋_GB2312" w:hAnsi="仿宋_GB2312" w:eastAsia="仿宋_GB2312" w:cs="仿宋_GB2312"/>
          <w:sz w:val="32"/>
        </w:rPr>
      </w:pPr>
      <w:r>
        <w:rPr>
          <w:rFonts w:hint="eastAsia" w:ascii="仿宋_GB2312" w:hAnsi="仿宋_GB2312" w:eastAsia="仿宋_GB2312" w:cs="仿宋_GB2312"/>
          <w:b/>
          <w:bCs/>
          <w:sz w:val="32"/>
          <w:szCs w:val="32"/>
        </w:rPr>
        <w:t>建设全球金融科技中心。</w:t>
      </w:r>
      <w:r>
        <w:rPr>
          <w:rFonts w:hint="eastAsia" w:ascii="仿宋_GB2312" w:hAnsi="仿宋_GB2312" w:eastAsia="仿宋_GB2312" w:cs="仿宋_GB2312"/>
          <w:sz w:val="32"/>
        </w:rPr>
        <w:t>完善金融科技产业孵化机制，加快培育金融科技龙头机构，形成从基础架构到应用场景开发的金融科技全产业链。开展</w:t>
      </w:r>
      <w:r>
        <w:rPr>
          <w:rFonts w:hint="eastAsia" w:ascii="仿宋_GB2312" w:hAnsi="仿宋_GB2312" w:eastAsia="仿宋_GB2312" w:cs="仿宋_GB2312"/>
          <w:bCs/>
          <w:sz w:val="32"/>
        </w:rPr>
        <w:t>数字货币研究与移动支付等创新应用，争取建设法定数字货币试验区，推动数字人民币国际合作和跨境使用，前瞻布局新一代金融基础设施</w:t>
      </w:r>
      <w:r>
        <w:rPr>
          <w:rFonts w:hint="eastAsia" w:ascii="仿宋_GB2312" w:hAnsi="仿宋_GB2312" w:eastAsia="仿宋_GB2312" w:cs="仿宋_GB2312"/>
          <w:sz w:val="32"/>
        </w:rPr>
        <w:t>。发挥国家金融科技测评中心平台作用，探索制定金融科技行业和技术标准。促进金融与科技融合创新发展，鼓励金融机构与科技公司以定制方式开展合作，</w:t>
      </w:r>
      <w:r>
        <w:rPr>
          <w:rFonts w:hint="eastAsia" w:ascii="仿宋_GB2312" w:hAnsi="仿宋_GB2312" w:eastAsia="仿宋_GB2312" w:cs="仿宋_GB2312"/>
          <w:spacing w:val="-6"/>
          <w:sz w:val="32"/>
          <w:szCs w:val="32"/>
        </w:rPr>
        <w:t>创新</w:t>
      </w:r>
      <w:r>
        <w:rPr>
          <w:rFonts w:ascii="仿宋_GB2312" w:hAnsi="仿宋_GB2312" w:eastAsia="仿宋_GB2312" w:cs="仿宋_GB2312"/>
          <w:spacing w:val="-6"/>
          <w:sz w:val="32"/>
          <w:szCs w:val="32"/>
        </w:rPr>
        <w:t>智能金融产品</w:t>
      </w:r>
      <w:r>
        <w:rPr>
          <w:rFonts w:hint="eastAsia" w:ascii="仿宋_GB2312" w:hAnsi="仿宋_GB2312" w:eastAsia="仿宋_GB2312" w:cs="仿宋_GB2312"/>
          <w:spacing w:val="-6"/>
          <w:sz w:val="32"/>
          <w:szCs w:val="32"/>
        </w:rPr>
        <w:t>与</w:t>
      </w:r>
      <w:r>
        <w:rPr>
          <w:rFonts w:ascii="仿宋_GB2312" w:hAnsi="仿宋_GB2312" w:eastAsia="仿宋_GB2312" w:cs="仿宋_GB2312"/>
          <w:spacing w:val="-6"/>
          <w:sz w:val="32"/>
          <w:szCs w:val="32"/>
        </w:rPr>
        <w:t>服务</w:t>
      </w:r>
      <w:r>
        <w:rPr>
          <w:rFonts w:hint="eastAsia" w:ascii="仿宋_GB2312" w:hAnsi="仿宋_GB2312" w:eastAsia="仿宋_GB2312" w:cs="仿宋_GB2312"/>
          <w:sz w:val="32"/>
        </w:rPr>
        <w:t>。实施“深港澳金融科技师”计划，探索举办金融科技创新创业大赛和金融科技节，打造金融科技高端品牌。</w:t>
      </w:r>
    </w:p>
    <w:p>
      <w:pPr>
        <w:pStyle w:val="39"/>
        <w:overflowPunct w:val="0"/>
        <w:spacing w:line="600" w:lineRule="exact"/>
        <w:ind w:firstLine="643"/>
        <w:rPr>
          <w:rFonts w:ascii="仿宋_GB2312" w:hAnsi="仿宋_GB2312" w:eastAsia="仿宋_GB2312" w:cs="仿宋_GB2312"/>
          <w:color w:val="000000"/>
          <w:sz w:val="32"/>
          <w:szCs w:val="32"/>
        </w:rPr>
      </w:pPr>
      <w:r>
        <w:rPr>
          <w:rFonts w:hint="eastAsia" w:eastAsia="仿宋_GB2312"/>
          <w:b/>
          <w:bCs/>
          <w:sz w:val="32"/>
        </w:rPr>
        <w:t>扩大金融业对外开放</w:t>
      </w:r>
      <w:r>
        <w:rPr>
          <w:rFonts w:hint="eastAsia" w:ascii="仿宋_GB2312" w:hAnsi="仿宋_GB2312" w:eastAsia="仿宋_GB2312" w:cs="仿宋_GB2312"/>
          <w:b/>
          <w:bCs/>
          <w:sz w:val="32"/>
        </w:rPr>
        <w:t>。</w:t>
      </w:r>
      <w:r>
        <w:rPr>
          <w:rFonts w:hint="eastAsia" w:ascii="仿宋_GB2312" w:hAnsi="仿宋_GB2312" w:eastAsia="仿宋_GB2312" w:cs="仿宋_GB2312"/>
          <w:sz w:val="32"/>
        </w:rPr>
        <w:t>大力</w:t>
      </w:r>
      <w:r>
        <w:rPr>
          <w:rFonts w:hint="eastAsia" w:ascii="仿宋_GB2312" w:hAnsi="仿宋_GB2312" w:eastAsia="仿宋_GB2312" w:cs="仿宋_GB2312"/>
          <w:bCs/>
          <w:sz w:val="32"/>
        </w:rPr>
        <w:t>支持</w:t>
      </w:r>
      <w:r>
        <w:rPr>
          <w:rFonts w:ascii="仿宋_GB2312" w:hAnsi="仿宋_GB2312" w:eastAsia="仿宋_GB2312" w:cs="仿宋_GB2312"/>
          <w:bCs/>
          <w:sz w:val="32"/>
        </w:rPr>
        <w:t>设立外资控股的证券、基金、</w:t>
      </w:r>
      <w:r>
        <w:rPr>
          <w:rFonts w:hint="eastAsia" w:ascii="仿宋_GB2312" w:hAnsi="仿宋_GB2312" w:eastAsia="仿宋_GB2312" w:cs="仿宋_GB2312"/>
          <w:bCs/>
          <w:sz w:val="32"/>
        </w:rPr>
        <w:t>期货</w:t>
      </w:r>
      <w:r>
        <w:rPr>
          <w:rFonts w:ascii="仿宋_GB2312" w:hAnsi="仿宋_GB2312" w:eastAsia="仿宋_GB2312" w:cs="仿宋_GB2312"/>
          <w:bCs/>
          <w:sz w:val="32"/>
        </w:rPr>
        <w:t>、</w:t>
      </w:r>
      <w:r>
        <w:rPr>
          <w:rFonts w:hint="eastAsia" w:ascii="仿宋_GB2312" w:hAnsi="仿宋_GB2312" w:eastAsia="仿宋_GB2312" w:cs="仿宋_GB2312"/>
          <w:bCs/>
          <w:sz w:val="32"/>
        </w:rPr>
        <w:t>保</w:t>
      </w:r>
      <w:r>
        <w:rPr>
          <w:rFonts w:ascii="仿宋_GB2312" w:hAnsi="仿宋_GB2312" w:eastAsia="仿宋_GB2312" w:cs="仿宋_GB2312"/>
          <w:bCs/>
          <w:sz w:val="32"/>
        </w:rPr>
        <w:t>险公司</w:t>
      </w:r>
      <w:r>
        <w:rPr>
          <w:rFonts w:hint="eastAsia" w:ascii="仿宋_GB2312" w:hAnsi="仿宋_GB2312" w:eastAsia="仿宋_GB2312" w:cs="仿宋_GB2312"/>
          <w:bCs/>
          <w:sz w:val="32"/>
        </w:rPr>
        <w:t>，</w:t>
      </w:r>
      <w:r>
        <w:rPr>
          <w:rFonts w:ascii="仿宋_GB2312" w:hAnsi="仿宋_GB2312" w:eastAsia="仿宋_GB2312" w:cs="仿宋_GB2312"/>
          <w:bCs/>
          <w:sz w:val="32"/>
        </w:rPr>
        <w:t>支持境外银行设立分行和子</w:t>
      </w:r>
      <w:r>
        <w:rPr>
          <w:rFonts w:hint="eastAsia" w:ascii="仿宋_GB2312" w:hAnsi="仿宋_GB2312" w:eastAsia="仿宋_GB2312" w:cs="仿宋_GB2312"/>
          <w:bCs/>
          <w:sz w:val="32"/>
        </w:rPr>
        <w:t>行</w:t>
      </w:r>
      <w:r>
        <w:rPr>
          <w:rFonts w:ascii="仿宋_GB2312" w:hAnsi="仿宋_GB2312" w:eastAsia="仿宋_GB2312" w:cs="仿宋_GB2312"/>
          <w:bCs/>
          <w:sz w:val="32"/>
        </w:rPr>
        <w:t>。</w:t>
      </w:r>
      <w:r>
        <w:rPr>
          <w:rFonts w:hint="eastAsia" w:ascii="仿宋_GB2312" w:hAnsi="仿宋" w:eastAsia="仿宋_GB2312" w:cs="仿宋"/>
          <w:sz w:val="32"/>
          <w:szCs w:val="32"/>
        </w:rPr>
        <w:t>试点外汇管理改革，有序推动不可兑换项目的开放。</w:t>
      </w:r>
      <w:r>
        <w:rPr>
          <w:rFonts w:hint="eastAsia" w:ascii="仿宋_GB2312" w:hAnsi="仿宋_GB2312" w:eastAsia="仿宋_GB2312" w:cs="仿宋_GB2312"/>
          <w:bCs/>
          <w:sz w:val="32"/>
        </w:rPr>
        <w:t>先行先试推进</w:t>
      </w:r>
      <w:r>
        <w:rPr>
          <w:rFonts w:ascii="仿宋_GB2312" w:hAnsi="仿宋_GB2312" w:eastAsia="仿宋_GB2312" w:cs="仿宋_GB2312"/>
          <w:bCs/>
          <w:sz w:val="32"/>
        </w:rPr>
        <w:t>人民币国际化，开展本外币合一跨境资金业务试点，</w:t>
      </w:r>
      <w:r>
        <w:rPr>
          <w:rFonts w:hint="eastAsia" w:ascii="仿宋_GB2312" w:hAnsi="仿宋_GB2312" w:eastAsia="仿宋_GB2312" w:cs="仿宋_GB2312"/>
          <w:bCs/>
          <w:sz w:val="32"/>
        </w:rPr>
        <w:t>推进</w:t>
      </w:r>
      <w:r>
        <w:rPr>
          <w:rFonts w:ascii="仿宋_GB2312" w:hAnsi="仿宋_GB2312" w:eastAsia="仿宋_GB2312" w:cs="仿宋_GB2312"/>
          <w:bCs/>
          <w:sz w:val="32"/>
        </w:rPr>
        <w:t>资本项目跨境人民币收入境内使用便利化</w:t>
      </w:r>
      <w:r>
        <w:rPr>
          <w:rFonts w:hint="eastAsia" w:ascii="仿宋_GB2312" w:hAnsi="仿宋_GB2312" w:eastAsia="仿宋_GB2312" w:cs="仿宋_GB2312"/>
          <w:bCs/>
          <w:sz w:val="32"/>
        </w:rPr>
        <w:t>。创新面向国际的人民币金融产品，发展人民币国际投贷基金，探索拓宽跨境人民币回流渠道。开展证券期货经营机构跨境业务试点，完善外商投资股权投资企业和合格境内投资者境外投资试点管理办法。推进</w:t>
      </w:r>
      <w:r>
        <w:rPr>
          <w:rFonts w:ascii="仿宋_GB2312" w:hAnsi="仿宋_GB2312" w:eastAsia="仿宋_GB2312" w:cs="仿宋_GB2312"/>
          <w:bCs/>
          <w:sz w:val="32"/>
        </w:rPr>
        <w:t>深港澳金融市场</w:t>
      </w:r>
      <w:r>
        <w:rPr>
          <w:rFonts w:hint="eastAsia" w:ascii="仿宋_GB2312" w:hAnsi="仿宋_GB2312" w:eastAsia="仿宋_GB2312" w:cs="仿宋_GB2312"/>
          <w:bCs/>
          <w:sz w:val="32"/>
        </w:rPr>
        <w:t>互联互通</w:t>
      </w:r>
      <w:r>
        <w:rPr>
          <w:rFonts w:ascii="仿宋_GB2312" w:hAnsi="仿宋_GB2312" w:eastAsia="仿宋_GB2312" w:cs="仿宋_GB2312"/>
          <w:bCs/>
          <w:sz w:val="32"/>
        </w:rPr>
        <w:t>和金融</w:t>
      </w:r>
      <w:r>
        <w:rPr>
          <w:rFonts w:hint="eastAsia" w:ascii="仿宋_GB2312" w:hAnsi="仿宋_GB2312" w:eastAsia="仿宋_GB2312" w:cs="仿宋_GB2312"/>
          <w:bCs/>
          <w:sz w:val="32"/>
        </w:rPr>
        <w:t>（基金）产品互认</w:t>
      </w:r>
      <w:r>
        <w:rPr>
          <w:rFonts w:ascii="仿宋_GB2312" w:hAnsi="仿宋_GB2312" w:eastAsia="仿宋_GB2312" w:cs="仿宋_GB2312"/>
          <w:bCs/>
          <w:sz w:val="32"/>
        </w:rPr>
        <w:t>，</w:t>
      </w:r>
      <w:r>
        <w:rPr>
          <w:rFonts w:hint="eastAsia" w:ascii="仿宋_GB2312" w:hAnsi="仿宋_GB2312" w:eastAsia="仿宋_GB2312" w:cs="仿宋_GB2312"/>
          <w:sz w:val="32"/>
          <w:szCs w:val="32"/>
        </w:rPr>
        <w:t>推动设立大湾区债券平台、港澳保险大湾区服务中心</w:t>
      </w:r>
      <w:r>
        <w:rPr>
          <w:rFonts w:hint="eastAsia" w:ascii="仿宋_GB2312" w:eastAsia="仿宋_GB2312"/>
          <w:sz w:val="32"/>
        </w:rPr>
        <w:t>。</w:t>
      </w:r>
    </w:p>
    <w:p>
      <w:pPr>
        <w:spacing w:line="600" w:lineRule="exact"/>
        <w:ind w:firstLine="643"/>
      </w:pPr>
    </w:p>
    <w:p>
      <w:pPr>
        <w:spacing w:line="600" w:lineRule="exact"/>
        <w:jc w:val="center"/>
        <w:outlineLvl w:val="2"/>
        <w:rPr>
          <w:rFonts w:ascii="楷体" w:hAnsi="楷体" w:eastAsia="楷体" w:cs="楷体"/>
          <w:b/>
          <w:bCs/>
          <w:sz w:val="32"/>
          <w:szCs w:val="32"/>
        </w:rPr>
      </w:pPr>
      <w:bookmarkStart w:id="3001" w:name="_Toc3491"/>
      <w:bookmarkStart w:id="3002" w:name="_Toc16661"/>
      <w:bookmarkStart w:id="3003" w:name="_Toc645"/>
      <w:bookmarkStart w:id="3004" w:name="_Toc11568"/>
      <w:bookmarkStart w:id="3005" w:name="_Toc14270"/>
      <w:bookmarkStart w:id="3006" w:name="_Toc30602"/>
      <w:bookmarkStart w:id="3007" w:name="_Toc10130"/>
      <w:bookmarkStart w:id="3008" w:name="_Toc13458"/>
      <w:bookmarkStart w:id="3009" w:name="_Toc26994"/>
      <w:bookmarkStart w:id="3010" w:name="_Toc21710"/>
      <w:bookmarkStart w:id="3011" w:name="_Toc10739"/>
      <w:bookmarkStart w:id="3012" w:name="_Toc6867"/>
      <w:bookmarkStart w:id="3013" w:name="_Toc2079"/>
      <w:bookmarkStart w:id="3014" w:name="_Toc5812"/>
      <w:bookmarkStart w:id="3015" w:name="_Toc14193"/>
      <w:bookmarkStart w:id="3016" w:name="_Toc11461"/>
      <w:bookmarkStart w:id="3017" w:name="_Toc3398"/>
      <w:bookmarkStart w:id="3018" w:name="_Toc26351"/>
      <w:bookmarkStart w:id="3019" w:name="_Toc30213"/>
      <w:bookmarkStart w:id="3020" w:name="_Toc19270"/>
      <w:bookmarkStart w:id="3021" w:name="_Toc21320"/>
      <w:bookmarkStart w:id="3022" w:name="_Toc9466"/>
      <w:bookmarkStart w:id="3023" w:name="_Toc26272"/>
      <w:bookmarkStart w:id="3024" w:name="_Toc26083"/>
      <w:bookmarkStart w:id="3025" w:name="_Toc29915"/>
      <w:bookmarkStart w:id="3026" w:name="_Toc4568"/>
      <w:bookmarkStart w:id="3027" w:name="_Toc5587"/>
      <w:bookmarkStart w:id="3028" w:name="_Toc9182"/>
      <w:bookmarkStart w:id="3029" w:name="_Toc15650"/>
      <w:bookmarkStart w:id="3030" w:name="_Toc21757"/>
      <w:bookmarkStart w:id="3031" w:name="_Toc23885"/>
      <w:bookmarkStart w:id="3032" w:name="_Toc25851"/>
      <w:bookmarkStart w:id="3033" w:name="_Toc25682"/>
      <w:bookmarkStart w:id="3034" w:name="_Toc2347"/>
      <w:bookmarkStart w:id="3035" w:name="_Toc17072"/>
      <w:bookmarkStart w:id="3036" w:name="_Toc26859"/>
      <w:bookmarkStart w:id="3037" w:name="_Toc20384"/>
      <w:bookmarkStart w:id="3038" w:name="_Toc18158"/>
      <w:bookmarkStart w:id="3039" w:name="_Toc19953"/>
      <w:bookmarkStart w:id="3040" w:name="_Toc20491"/>
      <w:bookmarkStart w:id="3041" w:name="_Toc21073"/>
      <w:bookmarkStart w:id="3042" w:name="_Toc25776"/>
      <w:bookmarkStart w:id="3043" w:name="_Toc28988"/>
      <w:bookmarkStart w:id="3044" w:name="_Toc7376"/>
      <w:bookmarkStart w:id="3045" w:name="_Toc10787"/>
      <w:bookmarkStart w:id="3046" w:name="_Toc5445"/>
      <w:bookmarkStart w:id="3047" w:name="_Toc27662"/>
      <w:bookmarkStart w:id="3048" w:name="_Toc28226"/>
      <w:r>
        <w:rPr>
          <w:rFonts w:hint="eastAsia" w:ascii="楷体" w:hAnsi="楷体" w:eastAsia="楷体" w:cs="楷体"/>
          <w:b/>
          <w:bCs/>
          <w:sz w:val="32"/>
          <w:szCs w:val="32"/>
        </w:rPr>
        <w:t>第五节 打造全球服务经济中心城市</w:t>
      </w:r>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p>
    <w:p>
      <w:pPr>
        <w:overflowPunct w:val="0"/>
        <w:adjustRightInd w:val="0"/>
        <w:snapToGrid w:val="0"/>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bCs/>
          <w:sz w:val="32"/>
          <w:szCs w:val="32"/>
        </w:rPr>
        <w:t>提升总部经济发展能级</w:t>
      </w:r>
      <w:r>
        <w:rPr>
          <w:rFonts w:hint="eastAsia" w:ascii="仿宋_GB2312" w:hAnsi="仿宋_GB2312" w:eastAsia="仿宋_GB2312" w:cs="仿宋_GB2312"/>
          <w:b/>
          <w:sz w:val="32"/>
          <w:szCs w:val="32"/>
          <w:lang w:val="zh-CN"/>
        </w:rPr>
        <w:t>。</w:t>
      </w:r>
      <w:r>
        <w:rPr>
          <w:rFonts w:hint="eastAsia" w:ascii="仿宋_GB2312" w:hAnsi="仿宋_GB2312" w:eastAsia="仿宋_GB2312" w:cs="仿宋_GB2312"/>
          <w:sz w:val="32"/>
          <w:szCs w:val="32"/>
          <w:lang w:val="zh-CN"/>
        </w:rPr>
        <w:t>构建灵活精准的总部经济政策体系，培育本土跨国企业集团，鼓励企业联合建设总部大厦，打造一批具有全球吸引力和辨识度的总部基地。</w:t>
      </w:r>
      <w:r>
        <w:rPr>
          <w:rFonts w:hint="eastAsia" w:ascii="仿宋_GB2312" w:hAnsi="仿宋_GB2312" w:eastAsia="仿宋_GB2312" w:cs="仿宋_GB2312"/>
          <w:sz w:val="32"/>
          <w:szCs w:val="32"/>
        </w:rPr>
        <w:t>持续开展产业链精准招商和重大项目全流程跟踪服务</w:t>
      </w:r>
      <w:r>
        <w:rPr>
          <w:rFonts w:hint="eastAsia" w:ascii="仿宋_GB2312" w:hAnsi="仿宋_GB2312" w:eastAsia="仿宋_GB2312" w:cs="仿宋_GB2312"/>
          <w:sz w:val="32"/>
          <w:szCs w:val="32"/>
          <w:lang w:val="zh-CN"/>
        </w:rPr>
        <w:t>，创新招商引资方式，提升全球招商大会影响力，持续引进竞争力强、关联度高、成长性好的产业链核心项目。建立优质高效的总部企业服务机制，健全与总部经济相适应的专业服务支撑体系，打造总部经济生态圈。</w:t>
      </w:r>
    </w:p>
    <w:p>
      <w:pPr>
        <w:pStyle w:val="39"/>
        <w:overflowPunct w:val="0"/>
        <w:autoSpaceDE w:val="0"/>
        <w:adjustRightInd w:val="0"/>
        <w:snapToGrid w:val="0"/>
        <w:spacing w:line="600" w:lineRule="exact"/>
        <w:ind w:firstLine="643"/>
        <w:rPr>
          <w:rFonts w:ascii="仿宋_GB2312" w:eastAsia="仿宋_GB2312"/>
          <w:sz w:val="32"/>
          <w:szCs w:val="32"/>
        </w:rPr>
      </w:pPr>
      <w:r>
        <w:rPr>
          <w:rFonts w:hint="eastAsia" w:ascii="仿宋_GB2312" w:hAnsi="仿宋_GB2312" w:eastAsia="仿宋_GB2312" w:cs="仿宋_GB2312"/>
          <w:b/>
          <w:bCs/>
          <w:sz w:val="32"/>
          <w:szCs w:val="32"/>
        </w:rPr>
        <w:t>推动生产性服务业向专业化和价值链高端延伸。</w:t>
      </w:r>
      <w:r>
        <w:rPr>
          <w:rFonts w:hint="eastAsia" w:ascii="仿宋_GB2312" w:hAnsi="仿宋_GB2312" w:eastAsia="仿宋_GB2312" w:cs="仿宋_GB2312"/>
          <w:sz w:val="32"/>
          <w:szCs w:val="32"/>
        </w:rPr>
        <w:t>加大专业服务业领域开放力度，打造专业服务业产业集群，加快建设一批专业服务业示范基地。</w:t>
      </w:r>
      <w:r>
        <w:rPr>
          <w:rFonts w:hint="eastAsia" w:ascii="仿宋_GB2312" w:hAnsi="仿宋_GB2312" w:eastAsia="仿宋_GB2312" w:cs="仿宋_GB2312"/>
          <w:bCs/>
          <w:sz w:val="32"/>
          <w:szCs w:val="32"/>
        </w:rPr>
        <w:t>加强深港澳专业服务业合作交流，推动设计、</w:t>
      </w:r>
      <w:r>
        <w:rPr>
          <w:rFonts w:ascii="仿宋_GB2312" w:hAnsi="仿宋_GB2312" w:eastAsia="仿宋_GB2312" w:cs="仿宋_GB2312"/>
          <w:bCs/>
          <w:sz w:val="32"/>
          <w:szCs w:val="32"/>
        </w:rPr>
        <w:t>法律、</w:t>
      </w:r>
      <w:r>
        <w:rPr>
          <w:rFonts w:hint="eastAsia" w:ascii="仿宋_GB2312" w:hAnsi="仿宋_GB2312" w:eastAsia="仿宋_GB2312" w:cs="仿宋_GB2312"/>
          <w:bCs/>
          <w:sz w:val="32"/>
          <w:szCs w:val="32"/>
        </w:rPr>
        <w:t>会计审计</w:t>
      </w:r>
      <w:r>
        <w:rPr>
          <w:rFonts w:ascii="仿宋_GB2312" w:hAnsi="仿宋_GB2312" w:eastAsia="仿宋_GB2312" w:cs="仿宋_GB2312"/>
          <w:bCs/>
          <w:sz w:val="32"/>
          <w:szCs w:val="32"/>
        </w:rPr>
        <w:t>、管理咨询</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人力资源</w:t>
      </w:r>
      <w:r>
        <w:rPr>
          <w:rFonts w:hint="eastAsia" w:ascii="仿宋_GB2312" w:hAnsi="仿宋_GB2312" w:eastAsia="仿宋_GB2312" w:cs="仿宋_GB2312"/>
          <w:bCs/>
          <w:sz w:val="32"/>
          <w:szCs w:val="32"/>
        </w:rPr>
        <w:t>、检验检测认证</w:t>
      </w:r>
      <w:r>
        <w:rPr>
          <w:rFonts w:ascii="仿宋_GB2312" w:hAnsi="仿宋_GB2312" w:eastAsia="仿宋_GB2312" w:cs="仿宋_GB2312"/>
          <w:bCs/>
          <w:sz w:val="32"/>
          <w:szCs w:val="32"/>
        </w:rPr>
        <w:t>等</w:t>
      </w:r>
      <w:r>
        <w:rPr>
          <w:rFonts w:hint="eastAsia" w:ascii="仿宋_GB2312" w:hAnsi="仿宋_GB2312" w:eastAsia="仿宋_GB2312" w:cs="仿宋_GB2312"/>
          <w:bCs/>
          <w:sz w:val="32"/>
          <w:szCs w:val="32"/>
        </w:rPr>
        <w:t>服务高端化发展。</w:t>
      </w:r>
      <w:r>
        <w:rPr>
          <w:rStyle w:val="37"/>
          <w:rFonts w:hint="eastAsia" w:ascii="仿宋_GB2312" w:hAnsi="仿宋_GB2312" w:eastAsia="仿宋_GB2312" w:cs="仿宋_GB2312"/>
          <w:bCs/>
          <w:sz w:val="32"/>
          <w:szCs w:val="32"/>
        </w:rPr>
        <w:t>培育壮大科技服务业，</w:t>
      </w:r>
      <w:r>
        <w:rPr>
          <w:rFonts w:ascii="仿宋_GB2312" w:hAnsi="仿宋_GB2312" w:eastAsia="仿宋_GB2312" w:cs="仿宋_GB2312"/>
          <w:bCs/>
          <w:sz w:val="32"/>
          <w:szCs w:val="32"/>
        </w:rPr>
        <w:t>围绕技术研发、成果转化等环节，培育众包、众</w:t>
      </w:r>
      <w:r>
        <w:rPr>
          <w:rFonts w:hint="eastAsia" w:ascii="仿宋_GB2312" w:hAnsi="仿宋_GB2312" w:eastAsia="仿宋_GB2312" w:cs="仿宋_GB2312"/>
          <w:bCs/>
          <w:sz w:val="32"/>
          <w:szCs w:val="32"/>
        </w:rPr>
        <w:t>扶等</w:t>
      </w:r>
      <w:r>
        <w:rPr>
          <w:rFonts w:ascii="仿宋_GB2312" w:hAnsi="仿宋_GB2312" w:eastAsia="仿宋_GB2312" w:cs="仿宋_GB2312"/>
          <w:bCs/>
          <w:sz w:val="32"/>
          <w:szCs w:val="32"/>
        </w:rPr>
        <w:t>研发服务新业态</w:t>
      </w:r>
      <w:r>
        <w:rPr>
          <w:rFonts w:hint="eastAsia" w:ascii="仿宋_GB2312" w:hAnsi="仿宋_GB2312" w:eastAsia="仿宋_GB2312" w:cs="仿宋_GB2312"/>
          <w:bCs/>
          <w:sz w:val="32"/>
          <w:szCs w:val="32"/>
        </w:rPr>
        <w:t>，加大对技术先进型服务企业支持力度。到2025年，现代服务业增加值占服务业增加值比重达77%。</w:t>
      </w:r>
    </w:p>
    <w:p>
      <w:pPr>
        <w:pStyle w:val="39"/>
        <w:overflowPunct w:val="0"/>
        <w:autoSpaceDE w:val="0"/>
        <w:adjustRightInd w:val="0"/>
        <w:snapToGrid w:val="0"/>
        <w:spacing w:line="600" w:lineRule="exact"/>
        <w:ind w:firstLine="643"/>
        <w:rPr>
          <w:rFonts w:ascii="仿宋_GB2312" w:hAnsi="仿宋_GB2312" w:eastAsia="仿宋_GB2312" w:cs="仿宋_GB2312"/>
          <w:bCs/>
          <w:sz w:val="32"/>
          <w:szCs w:val="32"/>
        </w:rPr>
      </w:pPr>
      <w:r>
        <w:rPr>
          <w:rFonts w:hint="eastAsia" w:ascii="仿宋_GB2312" w:hAnsi="仿宋_GB2312" w:eastAsia="仿宋_GB2312" w:cs="仿宋_GB2312"/>
          <w:b/>
          <w:sz w:val="32"/>
          <w:szCs w:val="32"/>
        </w:rPr>
        <w:t>推动生活性服务业高品质多样化发展</w:t>
      </w:r>
      <w:r>
        <w:rPr>
          <w:rFonts w:hint="eastAsia" w:ascii="仿宋_GB2312" w:hAnsi="仿宋_GB2312" w:eastAsia="仿宋_GB2312" w:cs="仿宋_GB2312"/>
          <w:b/>
          <w:bCs/>
          <w:sz w:val="32"/>
          <w:szCs w:val="32"/>
        </w:rPr>
        <w:t>。</w:t>
      </w:r>
      <w:r>
        <w:rPr>
          <w:rFonts w:hint="eastAsia" w:ascii="仿宋_GB2312" w:hAnsi="仿宋_GB2312" w:eastAsia="仿宋_GB2312" w:cs="仿宋_GB2312"/>
          <w:bCs/>
          <w:sz w:val="32"/>
          <w:szCs w:val="32"/>
        </w:rPr>
        <w:t>以标准化、品牌化建设为引领，加快发展健康、养老、育幼、文化、旅游、体育、家政、物业等服务业，加强公益性、基础性服务业供给。加</w:t>
      </w:r>
      <w:r>
        <w:rPr>
          <w:rFonts w:hint="eastAsia" w:ascii="仿宋_GB2312" w:hAnsi="仿宋_GB2312" w:eastAsia="仿宋_GB2312" w:cs="仿宋_GB2312"/>
          <w:sz w:val="32"/>
          <w:szCs w:val="32"/>
        </w:rPr>
        <w:t>快推进生活性服务业数字化发展，推动新一代信息技术深度应用，增强个性化、多样化、柔性化服务能力。构建服务质量治理体系，推广服务质量保险，建立健全服务质量监管协同处理机制，积极开展第三方认证，加强服务质量监测评价技术机构布局建设。完善服务业统计调查制度。</w:t>
      </w:r>
    </w:p>
    <w:p>
      <w:pPr>
        <w:numPr>
          <w:ilvl w:val="255"/>
          <w:numId w:val="0"/>
        </w:numPr>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br w:type="page"/>
      </w:r>
    </w:p>
    <w:p>
      <w:pPr>
        <w:numPr>
          <w:ilvl w:val="255"/>
          <w:numId w:val="0"/>
        </w:numPr>
        <w:spacing w:line="600" w:lineRule="exact"/>
        <w:jc w:val="center"/>
        <w:outlineLvl w:val="1"/>
        <w:rPr>
          <w:rFonts w:ascii="黑体" w:hAnsi="黑体" w:eastAsia="黑体" w:cs="黑体"/>
          <w:sz w:val="36"/>
          <w:szCs w:val="36"/>
        </w:rPr>
      </w:pPr>
      <w:bookmarkStart w:id="3049" w:name="_Toc21093"/>
      <w:bookmarkStart w:id="3050" w:name="_Toc18017"/>
      <w:bookmarkStart w:id="3051" w:name="_Toc6054"/>
      <w:bookmarkStart w:id="3052" w:name="_Toc27924"/>
      <w:bookmarkStart w:id="3053" w:name="_Toc18686"/>
      <w:r>
        <w:rPr>
          <w:rFonts w:hint="eastAsia" w:ascii="黑体" w:hAnsi="黑体" w:eastAsia="黑体" w:cs="黑体"/>
          <w:sz w:val="36"/>
          <w:szCs w:val="36"/>
        </w:rPr>
        <w:t>第九章 打造全球数字先锋城市</w:t>
      </w:r>
      <w:bookmarkEnd w:id="3049"/>
      <w:bookmarkEnd w:id="3050"/>
      <w:bookmarkEnd w:id="3051"/>
      <w:bookmarkEnd w:id="3052"/>
      <w:bookmarkEnd w:id="3053"/>
    </w:p>
    <w:p>
      <w:pPr>
        <w:spacing w:line="600" w:lineRule="exact"/>
        <w:rPr>
          <w:sz w:val="32"/>
          <w:szCs w:val="32"/>
        </w:rPr>
      </w:pPr>
    </w:p>
    <w:p>
      <w:pPr>
        <w:widowControl/>
        <w:numPr>
          <w:ilvl w:val="255"/>
          <w:numId w:val="0"/>
        </w:numPr>
        <w:overflowPunct w:val="0"/>
        <w:spacing w:line="6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抢抓数字技术产业变革机遇，充分发挥海量数据和丰富应用场景优势，以数字产业化和产业数字化为主攻方向，大力发展数字经济，建设数字政府、智慧城市、数字生态，促进数字化转型，引领数字新生活。</w:t>
      </w:r>
    </w:p>
    <w:p>
      <w:pPr>
        <w:widowControl/>
        <w:numPr>
          <w:ilvl w:val="255"/>
          <w:numId w:val="0"/>
        </w:numPr>
        <w:overflowPunct w:val="0"/>
        <w:spacing w:line="600" w:lineRule="exact"/>
        <w:ind w:firstLine="640" w:firstLineChars="200"/>
        <w:textAlignment w:val="baseline"/>
        <w:rPr>
          <w:rFonts w:ascii="仿宋_GB2312" w:hAnsi="仿宋_GB2312" w:eastAsia="仿宋_GB2312" w:cs="仿宋_GB2312"/>
          <w:sz w:val="32"/>
          <w:szCs w:val="32"/>
        </w:rPr>
      </w:pPr>
    </w:p>
    <w:p>
      <w:pPr>
        <w:widowControl/>
        <w:spacing w:line="600" w:lineRule="exact"/>
        <w:jc w:val="center"/>
        <w:outlineLvl w:val="2"/>
        <w:rPr>
          <w:rFonts w:ascii="楷体" w:hAnsi="楷体" w:eastAsia="楷体" w:cs="楷体"/>
          <w:b/>
          <w:bCs/>
          <w:color w:val="000000" w:themeColor="text1"/>
          <w:sz w:val="32"/>
          <w:szCs w:val="32"/>
          <w14:textFill>
            <w14:solidFill>
              <w14:schemeClr w14:val="tx1"/>
            </w14:solidFill>
          </w14:textFill>
        </w:rPr>
      </w:pPr>
      <w:bookmarkStart w:id="3054" w:name="_Toc13486"/>
      <w:bookmarkStart w:id="3055" w:name="_Toc943"/>
      <w:bookmarkStart w:id="3056" w:name="_Toc13170"/>
      <w:bookmarkStart w:id="3057" w:name="_Toc3353"/>
      <w:bookmarkStart w:id="3058" w:name="_Toc30860"/>
      <w:r>
        <w:rPr>
          <w:rFonts w:hint="eastAsia" w:ascii="楷体" w:hAnsi="楷体" w:eastAsia="楷体" w:cs="楷体"/>
          <w:b/>
          <w:bCs/>
          <w:color w:val="000000" w:themeColor="text1"/>
          <w:sz w:val="32"/>
          <w:szCs w:val="32"/>
          <w14:textFill>
            <w14:solidFill>
              <w14:schemeClr w14:val="tx1"/>
            </w14:solidFill>
          </w14:textFill>
        </w:rPr>
        <w:t>第一节 构建数字经济新优势</w:t>
      </w:r>
      <w:bookmarkEnd w:id="3054"/>
      <w:bookmarkEnd w:id="3055"/>
      <w:bookmarkEnd w:id="3056"/>
      <w:bookmarkEnd w:id="3057"/>
      <w:bookmarkEnd w:id="3058"/>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打造数字产业高地。</w:t>
      </w:r>
      <w:r>
        <w:rPr>
          <w:rFonts w:hint="eastAsia" w:ascii="仿宋_GB2312" w:hAnsi="仿宋_GB2312" w:eastAsia="仿宋_GB2312" w:cs="仿宋_GB2312"/>
          <w:sz w:val="32"/>
          <w:szCs w:val="32"/>
        </w:rPr>
        <w:t>实施“5G+8K+AI+云”新引擎战略，培育壮大人工智能、大数据、区块链、云计算、网络安全等新兴数字产业，建设国家数字经济创新发展试验区。加快发展人工智能产业，推进计算机视听觉、新型人机交互等应用技术产业化，建设新一代人工智能创新发展试验区。</w:t>
      </w:r>
      <w:r>
        <w:rPr>
          <w:rFonts w:hint="eastAsia" w:ascii="仿宋_GB2312" w:hAnsi="仿宋" w:eastAsia="仿宋_GB2312" w:cs="Courier New"/>
          <w:sz w:val="32"/>
          <w:szCs w:val="32"/>
        </w:rPr>
        <w:t>加快发展软件信息服务业，建设信创产业基地和基础软件创新中心，培育国际领先的云服务提供商，打造国际软件名城。建设海陆空协同的智能网联无人系统，</w:t>
      </w:r>
      <w:r>
        <w:rPr>
          <w:rFonts w:hint="eastAsia" w:ascii="仿宋_GB2312" w:hAnsi="仿宋_GB2312" w:eastAsia="仿宋_GB2312" w:cs="仿宋_GB2312"/>
          <w:sz w:val="32"/>
          <w:szCs w:val="32"/>
        </w:rPr>
        <w:t>构建智能网联交通产业测试示范平台，打造国家级5G车联网先导区。</w:t>
      </w:r>
      <w:r>
        <w:rPr>
          <w:rFonts w:hint="eastAsia" w:ascii="仿宋_GB2312" w:hAnsi="仿宋" w:eastAsia="仿宋_GB2312" w:cs="Courier New"/>
          <w:sz w:val="32"/>
          <w:szCs w:val="32"/>
        </w:rPr>
        <w:t>推动开源生态发展，支持建设国际化的开源项目和开源社区，鼓励企业开放软件源代码、硬件设计和应用服务。</w:t>
      </w:r>
      <w:r>
        <w:rPr>
          <w:rFonts w:hint="eastAsia" w:ascii="仿宋_GB2312" w:hAnsi="仿宋_GB2312" w:eastAsia="仿宋_GB2312" w:cs="仿宋_GB2312"/>
          <w:sz w:val="32"/>
          <w:szCs w:val="32"/>
        </w:rPr>
        <w:t>构筑鲲鹏技术生态、产业生态、应用生态，打造鲲鹏产业示范区。</w:t>
      </w:r>
    </w:p>
    <w:p>
      <w:pPr>
        <w:spacing w:after="156" w:afterLines="50" w:line="600" w:lineRule="exact"/>
        <w:ind w:firstLine="643" w:firstLineChars="200"/>
        <w:rPr>
          <w:rFonts w:ascii="仿宋_GB2312" w:hAnsi="仿宋" w:eastAsia="仿宋_GB2312" w:cs="仿宋"/>
          <w:sz w:val="32"/>
          <w:szCs w:val="32"/>
        </w:rPr>
      </w:pPr>
      <w:r>
        <w:rPr>
          <w:rFonts w:hint="eastAsia" w:ascii="仿宋_GB2312" w:hAnsi="仿宋_GB2312" w:eastAsia="仿宋_GB2312" w:cs="仿宋_GB2312"/>
          <w:b/>
          <w:bCs/>
          <w:sz w:val="32"/>
          <w:szCs w:val="32"/>
        </w:rPr>
        <w:t>引领产业数字化转型。</w:t>
      </w:r>
      <w:r>
        <w:rPr>
          <w:rFonts w:hint="eastAsia" w:ascii="仿宋_GB2312" w:hAnsi="仿宋" w:eastAsia="仿宋_GB2312" w:cs="仿宋"/>
          <w:sz w:val="32"/>
          <w:szCs w:val="32"/>
        </w:rPr>
        <w:t>实施“上云用数赋智”行动，推动数据赋能全产业链协同转型，深化研发设计、生产制造、市场服务等环节的数字化应用，建设国家新型工业化产业示范基地。加快推进新一代信息技术和制造业融合发展，实施工业互联网发展战略，建设国际一流的工业互联网平台，</w:t>
      </w:r>
      <w:r>
        <w:rPr>
          <w:rFonts w:hint="eastAsia" w:ascii="仿宋_GB2312" w:hAnsi="仿宋_GB2312" w:eastAsia="仿宋_GB2312" w:cs="仿宋_GB2312"/>
          <w:color w:val="000000"/>
          <w:sz w:val="32"/>
          <w:szCs w:val="32"/>
        </w:rPr>
        <w:t>构建工业互联网标识解析体系</w:t>
      </w:r>
      <w:r>
        <w:rPr>
          <w:rFonts w:hint="eastAsia" w:ascii="仿宋_GB2312" w:hAnsi="仿宋_GB2312" w:eastAsia="仿宋_GB2312" w:cs="仿宋_GB2312"/>
          <w:sz w:val="32"/>
          <w:szCs w:val="32"/>
        </w:rPr>
        <w:t>，</w:t>
      </w:r>
      <w:r>
        <w:rPr>
          <w:rFonts w:hint="eastAsia" w:ascii="仿宋_GB2312" w:hAnsi="仿宋" w:eastAsia="仿宋_GB2312" w:cs="仿宋"/>
          <w:sz w:val="32"/>
          <w:szCs w:val="32"/>
        </w:rPr>
        <w:t>建设更多无人工厂、智慧车间。积极发展个性定制、柔性制造等新模式，前瞻布局虚拟制造、协同制造。</w:t>
      </w:r>
    </w:p>
    <w:tbl>
      <w:tblPr>
        <w:tblStyle w:val="28"/>
        <w:tblW w:w="8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8018" w:type="dxa"/>
            <w:shd w:val="clear" w:color="auto" w:fill="auto"/>
            <w:vAlign w:val="center"/>
          </w:tcPr>
          <w:p>
            <w:pPr>
              <w:pStyle w:val="43"/>
              <w:numPr>
                <w:ilvl w:val="255"/>
                <w:numId w:val="0"/>
              </w:numPr>
              <w:overflowPunct w:val="0"/>
              <w:adjustRightInd w:val="0"/>
              <w:snapToGrid w:val="0"/>
              <w:spacing w:line="400" w:lineRule="exact"/>
              <w:jc w:val="center"/>
              <w:rPr>
                <w:rFonts w:ascii="宋体" w:hAnsi="宋体" w:cs="宋体"/>
                <w:b/>
                <w:color w:val="000000"/>
                <w:sz w:val="24"/>
                <w:lang w:val="zh-CN"/>
              </w:rPr>
            </w:pPr>
            <w:r>
              <w:rPr>
                <w:rFonts w:hint="eastAsia" w:ascii="宋体" w:hAnsi="宋体" w:cs="宋体"/>
                <w:b/>
                <w:kern w:val="0"/>
                <w:sz w:val="24"/>
              </w:rPr>
              <w:t>专栏9：</w:t>
            </w:r>
            <w:r>
              <w:rPr>
                <w:rFonts w:hint="eastAsia" w:ascii="宋体" w:hAnsi="宋体" w:cs="宋体"/>
                <w:b/>
                <w:color w:val="000000"/>
                <w:sz w:val="24"/>
              </w:rPr>
              <w:t>数字经济重点发展领域</w:t>
            </w:r>
          </w:p>
          <w:p>
            <w:pPr>
              <w:pStyle w:val="43"/>
              <w:numPr>
                <w:ilvl w:val="0"/>
                <w:numId w:val="6"/>
              </w:numPr>
              <w:overflowPunct w:val="0"/>
              <w:adjustRightInd w:val="0"/>
              <w:snapToGrid w:val="0"/>
              <w:spacing w:line="400" w:lineRule="exact"/>
              <w:ind w:firstLineChars="0"/>
              <w:rPr>
                <w:rFonts w:ascii="宋体" w:hAnsi="宋体" w:cs="宋体"/>
                <w:bCs/>
                <w:color w:val="000000"/>
                <w:sz w:val="24"/>
                <w:lang w:val="zh-CN"/>
              </w:rPr>
            </w:pPr>
            <w:r>
              <w:rPr>
                <w:rFonts w:hint="eastAsia" w:ascii="宋体" w:hAnsi="宋体" w:cs="宋体"/>
                <w:b/>
                <w:bCs/>
                <w:kern w:val="0"/>
                <w:sz w:val="24"/>
              </w:rPr>
              <w:t>5G：</w:t>
            </w:r>
            <w:r>
              <w:rPr>
                <w:rFonts w:hint="eastAsia" w:ascii="宋体" w:hAnsi="宋体" w:cs="宋体"/>
                <w:kern w:val="0"/>
                <w:sz w:val="24"/>
              </w:rPr>
              <w:t>面向无线技术、网络与业务、关键零部件、测试仪器仪表等重点方向，开展关键核心技术攻关。促进5G与工业互联网、智能网联汽车、AR/VR、8K视频、金融支付、交通物流、文化娱乐、远程医疗、智慧工厂、智慧安防等典型应用场景深度融合。</w:t>
            </w:r>
          </w:p>
          <w:p>
            <w:pPr>
              <w:pStyle w:val="43"/>
              <w:numPr>
                <w:ilvl w:val="0"/>
                <w:numId w:val="6"/>
              </w:numPr>
              <w:overflowPunct w:val="0"/>
              <w:adjustRightInd w:val="0"/>
              <w:snapToGrid w:val="0"/>
              <w:spacing w:line="400" w:lineRule="exact"/>
              <w:ind w:firstLineChars="0"/>
              <w:rPr>
                <w:rFonts w:ascii="宋体" w:hAnsi="宋体" w:cs="宋体"/>
                <w:b/>
                <w:color w:val="000000"/>
                <w:sz w:val="24"/>
                <w:lang w:val="zh-CN"/>
              </w:rPr>
            </w:pPr>
            <w:r>
              <w:rPr>
                <w:rFonts w:hint="eastAsia" w:ascii="宋体" w:hAnsi="宋体" w:cs="宋体"/>
                <w:b/>
                <w:color w:val="000000"/>
                <w:sz w:val="24"/>
                <w:lang w:val="zh-CN"/>
              </w:rPr>
              <w:t>云计算：</w:t>
            </w:r>
            <w:r>
              <w:rPr>
                <w:rFonts w:hint="eastAsia" w:ascii="宋体" w:hAnsi="宋体" w:cs="宋体"/>
                <w:color w:val="000000"/>
                <w:sz w:val="24"/>
                <w:lang w:val="zh-CN"/>
              </w:rPr>
              <w:t>协同发展云服务与边缘计算服务，推动超大规模分布式存储、弹性计算、数据虚拟隔离等技术创新，提高云安全水平。</w:t>
            </w:r>
          </w:p>
          <w:p>
            <w:pPr>
              <w:pStyle w:val="43"/>
              <w:numPr>
                <w:ilvl w:val="0"/>
                <w:numId w:val="6"/>
              </w:numPr>
              <w:overflowPunct w:val="0"/>
              <w:adjustRightInd w:val="0"/>
              <w:snapToGrid w:val="0"/>
              <w:spacing w:line="400" w:lineRule="exact"/>
              <w:ind w:firstLineChars="0"/>
              <w:rPr>
                <w:rFonts w:ascii="宋体" w:hAnsi="宋体" w:cs="宋体"/>
                <w:b/>
                <w:color w:val="000000"/>
                <w:sz w:val="24"/>
                <w:lang w:val="zh-CN"/>
              </w:rPr>
            </w:pPr>
            <w:r>
              <w:rPr>
                <w:rFonts w:hint="eastAsia" w:ascii="宋体" w:hAnsi="宋体" w:cs="宋体"/>
                <w:b/>
                <w:color w:val="000000"/>
                <w:sz w:val="24"/>
                <w:lang w:val="zh-CN"/>
              </w:rPr>
              <w:t>大数据：</w:t>
            </w:r>
            <w:r>
              <w:rPr>
                <w:rFonts w:hint="eastAsia" w:ascii="宋体" w:hAnsi="宋体" w:cs="宋体"/>
                <w:color w:val="000000"/>
                <w:sz w:val="24"/>
                <w:lang w:val="zh-CN"/>
              </w:rPr>
              <w:t>加强大数据采集、传输、存储、管理、处理、分析、应用、可视化和安全等关键技术研发能力，推动大数据创新应用。</w:t>
            </w:r>
          </w:p>
          <w:p>
            <w:pPr>
              <w:pStyle w:val="43"/>
              <w:numPr>
                <w:ilvl w:val="0"/>
                <w:numId w:val="6"/>
              </w:numPr>
              <w:overflowPunct w:val="0"/>
              <w:adjustRightInd w:val="0"/>
              <w:snapToGrid w:val="0"/>
              <w:spacing w:line="400" w:lineRule="exact"/>
              <w:ind w:firstLineChars="0"/>
              <w:rPr>
                <w:rFonts w:ascii="宋体" w:hAnsi="宋体" w:cs="宋体"/>
                <w:b/>
                <w:color w:val="000000"/>
                <w:sz w:val="24"/>
                <w:lang w:val="zh-CN"/>
              </w:rPr>
            </w:pPr>
            <w:r>
              <w:rPr>
                <w:rFonts w:hint="eastAsia" w:ascii="宋体" w:hAnsi="宋体" w:cs="宋体"/>
                <w:b/>
                <w:color w:val="000000"/>
                <w:sz w:val="24"/>
                <w:lang w:val="zh-CN"/>
              </w:rPr>
              <w:t>物联网：</w:t>
            </w:r>
            <w:r>
              <w:rPr>
                <w:rFonts w:hint="eastAsia" w:ascii="宋体" w:hAnsi="宋体" w:cs="宋体"/>
                <w:color w:val="000000"/>
                <w:sz w:val="24"/>
                <w:lang w:val="zh-CN"/>
              </w:rPr>
              <w:t>围绕泛在感知、安全传输、智能处理全链条，推动传感器、网络切片、高精度定位等技术创新，加快窄带物联网（NB-IoT）等标准应用和模式创新，培育物联网应用服务新业态。</w:t>
            </w:r>
          </w:p>
          <w:p>
            <w:pPr>
              <w:pStyle w:val="43"/>
              <w:numPr>
                <w:ilvl w:val="0"/>
                <w:numId w:val="6"/>
              </w:numPr>
              <w:overflowPunct w:val="0"/>
              <w:adjustRightInd w:val="0"/>
              <w:snapToGrid w:val="0"/>
              <w:spacing w:line="400" w:lineRule="exact"/>
              <w:ind w:firstLineChars="0"/>
              <w:rPr>
                <w:rFonts w:ascii="宋体" w:hAnsi="宋体" w:cs="宋体"/>
                <w:b/>
                <w:color w:val="000000"/>
                <w:sz w:val="24"/>
                <w:lang w:val="zh-CN"/>
              </w:rPr>
            </w:pPr>
            <w:r>
              <w:rPr>
                <w:rFonts w:hint="eastAsia" w:ascii="宋体" w:hAnsi="宋体" w:cs="宋体"/>
                <w:b/>
                <w:color w:val="000000"/>
                <w:sz w:val="24"/>
                <w:lang w:val="zh-CN"/>
              </w:rPr>
              <w:t>区块链：</w:t>
            </w:r>
            <w:r>
              <w:rPr>
                <w:rFonts w:hint="eastAsia" w:ascii="宋体" w:hAnsi="宋体" w:cs="宋体"/>
                <w:color w:val="000000"/>
                <w:sz w:val="24"/>
                <w:lang w:val="zh-CN"/>
              </w:rPr>
              <w:t>推动智能合约、多重共识算法、非对称加密算法、分布式容错机制等技术创新，探索“区块链+”在政务服务、城市管理、社会民生、公共安全及金融科技领域的应用。</w:t>
            </w:r>
          </w:p>
          <w:p>
            <w:pPr>
              <w:pStyle w:val="43"/>
              <w:numPr>
                <w:ilvl w:val="0"/>
                <w:numId w:val="6"/>
              </w:numPr>
              <w:overflowPunct w:val="0"/>
              <w:adjustRightInd w:val="0"/>
              <w:snapToGrid w:val="0"/>
              <w:spacing w:line="400" w:lineRule="exact"/>
              <w:ind w:firstLineChars="0"/>
              <w:rPr>
                <w:rFonts w:ascii="宋体" w:hAnsi="宋体" w:cs="宋体"/>
                <w:b/>
                <w:color w:val="000000"/>
                <w:sz w:val="24"/>
                <w:lang w:val="zh-CN"/>
              </w:rPr>
            </w:pPr>
            <w:r>
              <w:rPr>
                <w:rFonts w:hint="eastAsia" w:ascii="宋体" w:hAnsi="宋体" w:cs="宋体"/>
                <w:b/>
                <w:color w:val="000000"/>
                <w:sz w:val="24"/>
                <w:lang w:val="zh-CN"/>
              </w:rPr>
              <w:t>人工智能：</w:t>
            </w:r>
            <w:r>
              <w:rPr>
                <w:rFonts w:hint="eastAsia" w:ascii="宋体" w:hAnsi="宋体" w:cs="宋体"/>
                <w:color w:val="000000"/>
                <w:sz w:val="24"/>
                <w:lang w:val="zh-CN"/>
              </w:rPr>
              <w:t>重点开展智能芯片引领发展、智能无人系统培育、计算机视觉应用拓展以及智能语音跨越发展等工程，拓展人工智能融合应用场景。</w:t>
            </w:r>
          </w:p>
          <w:p>
            <w:pPr>
              <w:pStyle w:val="43"/>
              <w:numPr>
                <w:ilvl w:val="0"/>
                <w:numId w:val="6"/>
              </w:numPr>
              <w:overflowPunct w:val="0"/>
              <w:adjustRightInd w:val="0"/>
              <w:snapToGrid w:val="0"/>
              <w:spacing w:line="400" w:lineRule="exact"/>
              <w:ind w:firstLineChars="0"/>
              <w:rPr>
                <w:rFonts w:ascii="宋体" w:hAnsi="宋体" w:cs="宋体"/>
                <w:bCs/>
                <w:color w:val="000000"/>
                <w:sz w:val="24"/>
              </w:rPr>
            </w:pPr>
            <w:r>
              <w:rPr>
                <w:rFonts w:hint="eastAsia" w:ascii="宋体" w:hAnsi="宋体" w:cs="宋体"/>
                <w:b/>
                <w:color w:val="000000"/>
                <w:sz w:val="24"/>
                <w:lang w:val="zh-CN"/>
              </w:rPr>
              <w:t>虚拟现实和增强现实：</w:t>
            </w:r>
            <w:r>
              <w:rPr>
                <w:rFonts w:hint="eastAsia" w:ascii="宋体" w:hAnsi="宋体" w:cs="宋体"/>
                <w:color w:val="000000"/>
                <w:sz w:val="24"/>
                <w:lang w:val="zh-CN"/>
              </w:rPr>
              <w:t>提升数字内容加工处理、全息成像、动漫游戏制作引擎软件和开发系统、3D数字化建模、数字孪生设计等核心技术创新能力，发展虚拟现实整机、感知交互、内容采集制作等设备和开发工具软件。</w:t>
            </w:r>
          </w:p>
        </w:tc>
      </w:tr>
    </w:tbl>
    <w:p>
      <w:pPr>
        <w:widowControl/>
        <w:overflowPunct w:val="0"/>
        <w:spacing w:before="156" w:beforeLines="50" w:line="600" w:lineRule="exact"/>
        <w:ind w:firstLine="641"/>
        <w:textAlignment w:val="baseline"/>
        <w:rPr>
          <w:sz w:val="32"/>
          <w:szCs w:val="32"/>
        </w:rPr>
      </w:pPr>
      <w:r>
        <w:rPr>
          <w:rFonts w:hint="eastAsia" w:ascii="仿宋_GB2312" w:hAnsi="仿宋" w:eastAsia="仿宋_GB2312" w:cs="Courier New"/>
          <w:b/>
          <w:bCs/>
          <w:sz w:val="32"/>
          <w:szCs w:val="32"/>
        </w:rPr>
        <w:t>打造数字应用新标杆。</w:t>
      </w:r>
      <w:r>
        <w:rPr>
          <w:rFonts w:hint="eastAsia" w:ascii="仿宋_GB2312" w:hAnsi="仿宋_GB2312" w:eastAsia="仿宋_GB2312" w:cs="仿宋_GB2312"/>
          <w:sz w:val="32"/>
          <w:szCs w:val="32"/>
        </w:rPr>
        <w:t>开展未来城市场景试验区计划，深入推进“5G+千行百业”“AI+千行百业”应用，加速场景融合应用。</w:t>
      </w:r>
      <w:r>
        <w:rPr>
          <w:rFonts w:hint="eastAsia" w:ascii="仿宋_GB2312" w:hAnsi="Times New Roman" w:eastAsia="仿宋_GB2312"/>
          <w:sz w:val="32"/>
          <w:szCs w:val="32"/>
        </w:rPr>
        <w:t>推进无人经济发展，布局一批无人超市、无人售货柜、无人回收站等智慧零售终端。加快发展在线经济，</w:t>
      </w:r>
      <w:r>
        <w:rPr>
          <w:rFonts w:hint="eastAsia" w:ascii="仿宋_GB2312" w:hAnsi="仿宋" w:eastAsia="仿宋_GB2312" w:cs="Courier New"/>
          <w:sz w:val="32"/>
          <w:szCs w:val="32"/>
        </w:rPr>
        <w:t>鼓励发展在线教育、在线医疗、在线研发设计等新业态，</w:t>
      </w:r>
      <w:r>
        <w:rPr>
          <w:rFonts w:hint="eastAsia" w:ascii="仿宋_GB2312" w:hAnsi="Times New Roman" w:eastAsia="仿宋_GB2312"/>
          <w:sz w:val="32"/>
          <w:szCs w:val="32"/>
        </w:rPr>
        <w:t>鼓励发展便捷化线上办公，完善电子合同、电子认证等数字应用。</w:t>
      </w:r>
      <w:r>
        <w:rPr>
          <w:rFonts w:hint="eastAsia" w:ascii="仿宋_GB2312" w:hAnsi="仿宋_GB2312" w:eastAsia="仿宋_GB2312" w:cs="仿宋_GB2312"/>
          <w:sz w:val="32"/>
          <w:szCs w:val="32"/>
        </w:rPr>
        <w:t>深化发展共享经济，鼓励个人闲置资源有效利用，有序发展民宿出租、旧物交换利用等。</w:t>
      </w:r>
    </w:p>
    <w:p>
      <w:pPr>
        <w:pStyle w:val="40"/>
        <w:overflowPunct w:val="0"/>
        <w:spacing w:line="600" w:lineRule="exact"/>
        <w:ind w:firstLine="640"/>
        <w:rPr>
          <w:sz w:val="32"/>
          <w:szCs w:val="32"/>
        </w:rPr>
      </w:pPr>
    </w:p>
    <w:p>
      <w:pPr>
        <w:widowControl/>
        <w:spacing w:line="600" w:lineRule="exact"/>
        <w:jc w:val="center"/>
        <w:outlineLvl w:val="2"/>
        <w:rPr>
          <w:rFonts w:ascii="楷体" w:hAnsi="楷体" w:eastAsia="楷体" w:cs="楷体"/>
          <w:b/>
          <w:bCs/>
          <w:color w:val="000000" w:themeColor="text1"/>
          <w:sz w:val="32"/>
          <w:szCs w:val="32"/>
          <w14:textFill>
            <w14:solidFill>
              <w14:schemeClr w14:val="tx1"/>
            </w14:solidFill>
          </w14:textFill>
        </w:rPr>
      </w:pPr>
      <w:bookmarkStart w:id="3059" w:name="_Toc25763"/>
      <w:bookmarkStart w:id="3060" w:name="_Toc18894"/>
      <w:bookmarkStart w:id="3061" w:name="_Toc22578"/>
      <w:bookmarkStart w:id="3062" w:name="_Toc11463"/>
      <w:bookmarkStart w:id="3063" w:name="_Toc23006"/>
      <w:r>
        <w:rPr>
          <w:rFonts w:hint="eastAsia" w:ascii="楷体" w:hAnsi="楷体" w:eastAsia="楷体" w:cs="楷体"/>
          <w:b/>
          <w:bCs/>
          <w:color w:val="000000" w:themeColor="text1"/>
          <w:sz w:val="32"/>
          <w:szCs w:val="32"/>
          <w14:textFill>
            <w14:solidFill>
              <w14:schemeClr w14:val="tx1"/>
            </w14:solidFill>
          </w14:textFill>
        </w:rPr>
        <w:t>第二节 建设全球领先的数字基建</w:t>
      </w:r>
      <w:bookmarkEnd w:id="3059"/>
      <w:bookmarkEnd w:id="3060"/>
      <w:bookmarkEnd w:id="3061"/>
      <w:bookmarkEnd w:id="3062"/>
      <w:bookmarkEnd w:id="3063"/>
    </w:p>
    <w:p>
      <w:pPr>
        <w:overflowPunct w:val="0"/>
        <w:adjustRightInd w:val="0"/>
        <w:snapToGrid w:val="0"/>
        <w:spacing w:line="60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全面提升通信网络能级。</w:t>
      </w:r>
      <w:r>
        <w:rPr>
          <w:rFonts w:hint="eastAsia" w:ascii="仿宋_GB2312" w:hAnsi="仿宋_GB2312" w:eastAsia="仿宋_GB2312" w:cs="仿宋_GB2312"/>
          <w:sz w:val="32"/>
          <w:szCs w:val="32"/>
        </w:rPr>
        <w:t>构建覆盖“5G+千兆光网+智慧专网+卫星网+物联网”的通信网络基础设施体系，</w:t>
      </w:r>
      <w:r>
        <w:rPr>
          <w:rFonts w:hint="eastAsia" w:ascii="仿宋_GB2312" w:hAnsi="仿宋_GB2312" w:eastAsia="仿宋_GB2312" w:cs="仿宋_GB2312"/>
          <w:color w:val="000000"/>
          <w:sz w:val="32"/>
          <w:szCs w:val="32"/>
        </w:rPr>
        <w:t>实现泛在高速网络连通。全面</w:t>
      </w:r>
      <w:r>
        <w:rPr>
          <w:rFonts w:hint="eastAsia" w:ascii="仿宋_GB2312" w:hAnsi="仿宋_GB2312" w:eastAsia="仿宋_GB2312" w:cs="仿宋_GB2312"/>
          <w:sz w:val="32"/>
          <w:szCs w:val="32"/>
        </w:rPr>
        <w:t>布局</w:t>
      </w:r>
      <w:r>
        <w:rPr>
          <w:rFonts w:hint="eastAsia" w:ascii="仿宋_GB2312" w:hAnsi="仿宋_GB2312" w:eastAsia="仿宋_GB2312" w:cs="仿宋_GB2312"/>
          <w:color w:val="000000"/>
          <w:sz w:val="32"/>
          <w:szCs w:val="32"/>
        </w:rPr>
        <w:t>基于</w:t>
      </w:r>
      <w:r>
        <w:rPr>
          <w:rFonts w:hint="eastAsia" w:ascii="仿宋_GB2312" w:hAnsi="仿宋_GB2312" w:eastAsia="仿宋_GB2312" w:cs="仿宋_GB2312"/>
          <w:color w:val="000000"/>
          <w:sz w:val="32"/>
          <w:szCs w:val="32"/>
          <w:lang w:val="zh-CN"/>
        </w:rPr>
        <w:t>互联网协议第六版（IPv6）</w:t>
      </w:r>
      <w:r>
        <w:rPr>
          <w:rFonts w:hint="eastAsia" w:ascii="仿宋_GB2312" w:hAnsi="仿宋_GB2312" w:eastAsia="仿宋_GB2312" w:cs="仿宋_GB2312"/>
          <w:sz w:val="32"/>
          <w:szCs w:val="32"/>
          <w:lang w:val="zh-CN"/>
        </w:rPr>
        <w:t>的下一代互联网</w:t>
      </w:r>
      <w:r>
        <w:rPr>
          <w:rFonts w:hint="eastAsia" w:ascii="仿宋_GB2312" w:hAnsi="仿宋_GB2312" w:eastAsia="仿宋_GB2312" w:cs="仿宋_GB2312"/>
          <w:color w:val="000000"/>
          <w:sz w:val="32"/>
          <w:szCs w:val="32"/>
          <w:lang w:val="zh-CN"/>
        </w:rPr>
        <w:t>，</w:t>
      </w:r>
      <w:r>
        <w:rPr>
          <w:rFonts w:hint="eastAsia" w:ascii="仿宋_GB2312" w:hAnsi="仿宋_GB2312" w:eastAsia="仿宋_GB2312" w:cs="仿宋_GB2312"/>
          <w:sz w:val="32"/>
          <w:szCs w:val="32"/>
          <w:lang w:val="zh-CN"/>
        </w:rPr>
        <w:t>推动通信网络、业务及终端支持IPv6</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推动跨境通信网络建设，打造超低时延、超大带宽的海外通信枢纽节点。全面升级城市基础光纤传输网络覆盖范围和覆盖密度，部署10G PON光纤接入网，推进5G网络建设，打造“双千兆城市”，到2025年累计建成5G基站超6万个。</w:t>
      </w:r>
    </w:p>
    <w:p>
      <w:pPr>
        <w:overflowPunct w:val="0"/>
        <w:adjustRightInd w:val="0"/>
        <w:snapToGrid w:val="0"/>
        <w:spacing w:line="60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前瞻部署多元算力资源。</w:t>
      </w:r>
      <w:r>
        <w:rPr>
          <w:rFonts w:hint="eastAsia" w:ascii="仿宋_GB2312" w:hAnsi="仿宋_GB2312" w:eastAsia="仿宋_GB2312" w:cs="仿宋_GB2312"/>
          <w:color w:val="000000"/>
          <w:sz w:val="32"/>
          <w:szCs w:val="32"/>
        </w:rPr>
        <w:t>统筹布局以数据中心和边缘计算为主体、智能超算为特色的全市算力一张网，强化算法等科技能力支撑，实现算力的云边端统筹供给。推动边缘计算节点和微型数据中心建设，加快粤港澳大湾区大数据中心建设。加快鹏城云脑和超算中心建设，打造智能计算和通用超算高地。开展数据中心节能和绿色化改造行动，加强数据中心能耗动态监测。</w:t>
      </w:r>
    </w:p>
    <w:p>
      <w:pPr>
        <w:overflowPunct w:val="0"/>
        <w:adjustRightInd w:val="0"/>
        <w:snapToGrid w:val="0"/>
        <w:spacing w:line="60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布局城市融合感知体系。</w:t>
      </w:r>
      <w:r>
        <w:rPr>
          <w:rFonts w:hint="eastAsia" w:ascii="仿宋_GB2312" w:hAnsi="仿宋_GB2312" w:eastAsia="仿宋_GB2312" w:cs="仿宋_GB2312"/>
          <w:color w:val="000000"/>
          <w:sz w:val="32"/>
          <w:szCs w:val="32"/>
        </w:rPr>
        <w:t>实施智慧感知设施建设工程，</w:t>
      </w:r>
      <w:r>
        <w:rPr>
          <w:rFonts w:hint="eastAsia" w:ascii="仿宋_GB2312" w:hAnsi="仿宋_GB2312" w:eastAsia="仿宋_GB2312" w:cs="仿宋_GB2312"/>
          <w:sz w:val="32"/>
          <w:szCs w:val="32"/>
        </w:rPr>
        <w:t>在重点行业和领域规模化部署低成本、低功耗、高精度、高可靠的智能化传感器</w:t>
      </w:r>
      <w:r>
        <w:rPr>
          <w:rFonts w:hint="eastAsia" w:ascii="仿宋_GB2312" w:hAnsi="仿宋_GB2312" w:eastAsia="仿宋_GB2312" w:cs="仿宋_GB2312"/>
          <w:color w:val="000000"/>
          <w:sz w:val="32"/>
          <w:szCs w:val="32"/>
        </w:rPr>
        <w:t>。构建泛在互联智能感知网络，打造覆盖全城的物联感知数字化标识体系。建设一体化物联感知平台，实现跨领域、跨层级的全域感知。</w:t>
      </w:r>
    </w:p>
    <w:p>
      <w:pPr>
        <w:spacing w:line="600" w:lineRule="exact"/>
        <w:ind w:firstLine="640" w:firstLineChars="200"/>
        <w:rPr>
          <w:rFonts w:ascii="仿宋_GB2312" w:hAnsi="仿宋" w:eastAsia="仿宋_GB2312" w:cs="仿宋"/>
          <w:sz w:val="32"/>
          <w:szCs w:val="32"/>
        </w:rPr>
      </w:pPr>
    </w:p>
    <w:p>
      <w:pPr>
        <w:widowControl/>
        <w:spacing w:line="600" w:lineRule="exact"/>
        <w:jc w:val="center"/>
        <w:outlineLvl w:val="2"/>
        <w:rPr>
          <w:rFonts w:ascii="楷体" w:hAnsi="楷体" w:eastAsia="楷体" w:cs="楷体"/>
          <w:b/>
          <w:bCs/>
          <w:color w:val="000000" w:themeColor="text1"/>
          <w:sz w:val="32"/>
          <w:szCs w:val="32"/>
          <w14:textFill>
            <w14:solidFill>
              <w14:schemeClr w14:val="tx1"/>
            </w14:solidFill>
          </w14:textFill>
        </w:rPr>
      </w:pPr>
      <w:bookmarkStart w:id="3064" w:name="_Toc948"/>
      <w:bookmarkStart w:id="3065" w:name="_Toc310"/>
      <w:bookmarkStart w:id="3066" w:name="_Toc28089"/>
      <w:bookmarkStart w:id="3067" w:name="_Toc22422"/>
      <w:bookmarkStart w:id="3068" w:name="_Toc30741"/>
      <w:r>
        <w:rPr>
          <w:rFonts w:hint="eastAsia" w:ascii="楷体" w:hAnsi="楷体" w:eastAsia="楷体" w:cs="楷体"/>
          <w:b/>
          <w:bCs/>
          <w:color w:val="000000" w:themeColor="text1"/>
          <w:sz w:val="32"/>
          <w:szCs w:val="32"/>
          <w14:textFill>
            <w14:solidFill>
              <w14:schemeClr w14:val="tx1"/>
            </w14:solidFill>
          </w14:textFill>
        </w:rPr>
        <w:t>第三节 加快建设数字政府和新型智慧城市</w:t>
      </w:r>
      <w:bookmarkEnd w:id="3064"/>
      <w:bookmarkEnd w:id="3065"/>
      <w:bookmarkEnd w:id="3066"/>
      <w:bookmarkEnd w:id="3067"/>
      <w:bookmarkEnd w:id="3068"/>
    </w:p>
    <w:p>
      <w:pPr>
        <w:overflowPunct w:val="0"/>
        <w:adjustRightInd w:val="0"/>
        <w:snapToGrid w:val="0"/>
        <w:spacing w:line="600" w:lineRule="exact"/>
        <w:ind w:firstLine="643" w:firstLineChars="200"/>
        <w:rPr>
          <w:rFonts w:ascii="仿宋_GB2312" w:hAnsi="Times New Roman" w:eastAsia="仿宋_GB2312"/>
          <w:bCs/>
          <w:sz w:val="32"/>
          <w:szCs w:val="32"/>
        </w:rPr>
      </w:pPr>
      <w:r>
        <w:rPr>
          <w:rFonts w:hint="eastAsia" w:ascii="仿宋_GB2312" w:hAnsi="仿宋_GB2312" w:eastAsia="仿宋_GB2312" w:cs="仿宋_GB2312"/>
          <w:b/>
          <w:bCs/>
          <w:sz w:val="32"/>
          <w:szCs w:val="32"/>
        </w:rPr>
        <w:t>深化政务服务“一网通办”。</w:t>
      </w:r>
      <w:r>
        <w:rPr>
          <w:rFonts w:hint="eastAsia" w:ascii="仿宋_GB2312" w:hAnsi="仿宋_GB2312" w:eastAsia="仿宋_GB2312" w:cs="仿宋_GB2312"/>
          <w:sz w:val="32"/>
          <w:szCs w:val="32"/>
        </w:rPr>
        <w:t>建设主动、精准、智能的整体数字政府，推进政务服务事项管理标准化和规范化，</w:t>
      </w:r>
      <w:r>
        <w:rPr>
          <w:rFonts w:hint="eastAsia" w:ascii="仿宋_GB2312" w:hAnsi="Times New Roman" w:eastAsia="仿宋_GB2312"/>
          <w:bCs/>
          <w:sz w:val="32"/>
          <w:szCs w:val="32"/>
        </w:rPr>
        <w:t>打造面向服务对象的政务服务产品。</w:t>
      </w:r>
      <w:r>
        <w:rPr>
          <w:rFonts w:hint="eastAsia" w:ascii="仿宋_GB2312" w:hAnsi="仿宋_GB2312" w:eastAsia="仿宋_GB2312" w:cs="仿宋_GB2312"/>
          <w:sz w:val="32"/>
          <w:szCs w:val="32"/>
        </w:rPr>
        <w:t>全面拓宽“i深圳”系列服务内容，</w:t>
      </w:r>
      <w:r>
        <w:rPr>
          <w:rFonts w:hint="eastAsia" w:ascii="仿宋_GB2312" w:eastAsia="仿宋_GB2312"/>
          <w:bCs/>
          <w:sz w:val="32"/>
          <w:szCs w:val="32"/>
        </w:rPr>
        <w:t>建设一体化在线政务服务平台，推进政务服务</w:t>
      </w:r>
      <w:r>
        <w:rPr>
          <w:rFonts w:hint="eastAsia" w:ascii="仿宋_GB2312" w:hAnsi="Times New Roman" w:eastAsia="仿宋_GB2312"/>
          <w:bCs/>
          <w:sz w:val="32"/>
          <w:szCs w:val="32"/>
        </w:rPr>
        <w:t>线上线下</w:t>
      </w:r>
      <w:r>
        <w:rPr>
          <w:rFonts w:hint="eastAsia" w:ascii="仿宋_GB2312" w:eastAsia="仿宋_GB2312"/>
          <w:bCs/>
          <w:sz w:val="32"/>
          <w:szCs w:val="32"/>
        </w:rPr>
        <w:t>全渠道深度融合。</w:t>
      </w:r>
      <w:r>
        <w:rPr>
          <w:rFonts w:hint="eastAsia" w:ascii="仿宋_GB2312" w:hAnsi="仿宋_GB2312" w:eastAsia="仿宋_GB2312" w:cs="仿宋_GB2312"/>
          <w:bCs/>
          <w:sz w:val="32"/>
          <w:szCs w:val="32"/>
        </w:rPr>
        <w:t>推广政务服务“一件事一次办”“秒报秒批一体化”“免证办”，全面推广全城通办。</w:t>
      </w:r>
      <w:r>
        <w:rPr>
          <w:rFonts w:hint="eastAsia" w:ascii="仿宋_GB2312" w:hAnsi="仿宋_GB2312" w:eastAsia="仿宋_GB2312" w:cs="仿宋_GB2312"/>
          <w:sz w:val="32"/>
          <w:szCs w:val="32"/>
        </w:rPr>
        <w:t>推动全市统一身份认证和多码融合、一码通用。到2025年，高频服务事项实现100%“掌上办”。</w:t>
      </w:r>
    </w:p>
    <w:p>
      <w:pPr>
        <w:overflowPunct w:val="0"/>
        <w:adjustRightInd w:val="0"/>
        <w:snapToGrid w:val="0"/>
        <w:spacing w:line="600" w:lineRule="exact"/>
        <w:ind w:firstLine="643" w:firstLineChars="200"/>
        <w:rPr>
          <w:rFonts w:ascii="仿宋_GB2312" w:eastAsia="仿宋_GB2312"/>
          <w:bCs/>
          <w:sz w:val="32"/>
          <w:szCs w:val="32"/>
        </w:rPr>
      </w:pPr>
      <w:r>
        <w:rPr>
          <w:rFonts w:hint="eastAsia" w:ascii="仿宋_GB2312" w:hAnsi="仿宋_GB2312" w:eastAsia="仿宋_GB2312" w:cs="仿宋_GB2312"/>
          <w:b/>
          <w:bCs/>
          <w:sz w:val="32"/>
          <w:szCs w:val="32"/>
        </w:rPr>
        <w:t>推进政府治理“一网统管”。</w:t>
      </w:r>
      <w:r>
        <w:rPr>
          <w:rFonts w:hint="eastAsia" w:ascii="仿宋_GB2312" w:eastAsia="仿宋_GB2312"/>
          <w:bCs/>
          <w:sz w:val="32"/>
          <w:szCs w:val="32"/>
        </w:rPr>
        <w:t>建设高水平的市政府管理服务指挥中心，整合各部门主要应用系统，建立城市事件分拨处置中心，打造政府决策指挥中枢，实现跨部门、跨层级、跨区域的扁平化指挥调度。积极推动城市治理数字化转型，聚焦公共安全、应急管理、规划建设、网格化管理、交通管理、市场监管、生态环境管理等重点领域，努力实现态势全面感知、风险监测预警、趋势智能研判、资源统筹调度和行动人机协同，打造科学化、精细化、智能化的超大城市数字化治理新范式。</w:t>
      </w:r>
    </w:p>
    <w:p>
      <w:pPr>
        <w:overflowPunct w:val="0"/>
        <w:adjustRightInd w:val="0"/>
        <w:snapToGrid w:val="0"/>
        <w:spacing w:line="600" w:lineRule="exact"/>
        <w:ind w:firstLine="643"/>
      </w:pPr>
      <w:r>
        <w:rPr>
          <w:rFonts w:hint="eastAsia" w:ascii="仿宋_GB2312" w:hAnsi="仿宋_GB2312" w:eastAsia="仿宋_GB2312" w:cs="仿宋_GB2312"/>
          <w:b/>
          <w:bCs/>
          <w:sz w:val="32"/>
          <w:szCs w:val="32"/>
        </w:rPr>
        <w:t>完善政府运行“一网协同”。</w:t>
      </w:r>
      <w:r>
        <w:rPr>
          <w:rFonts w:hint="eastAsia" w:ascii="仿宋_GB2312" w:hAnsi="仿宋_GB2312" w:eastAsia="仿宋_GB2312" w:cs="仿宋_GB2312"/>
          <w:sz w:val="32"/>
          <w:szCs w:val="32"/>
        </w:rPr>
        <w:t>全面推进党政机关数字化进程，</w:t>
      </w:r>
      <w:r>
        <w:rPr>
          <w:rStyle w:val="37"/>
          <w:rFonts w:hint="eastAsia" w:ascii="仿宋_GB2312" w:hAnsi="仿宋_GB2312" w:eastAsia="仿宋_GB2312" w:cs="仿宋_GB2312"/>
          <w:bCs/>
          <w:color w:val="000000"/>
          <w:sz w:val="32"/>
          <w:szCs w:val="32"/>
        </w:rPr>
        <w:t>统一全市政务网络和云架构，</w:t>
      </w:r>
      <w:r>
        <w:rPr>
          <w:rFonts w:hint="eastAsia" w:ascii="仿宋_GB2312" w:hAnsi="仿宋_GB2312" w:eastAsia="仿宋_GB2312" w:cs="仿宋_GB2312"/>
          <w:bCs/>
          <w:sz w:val="32"/>
          <w:szCs w:val="32"/>
        </w:rPr>
        <w:t>加快党政机关一体化政务协同平台升级优化，</w:t>
      </w:r>
      <w:r>
        <w:rPr>
          <w:rFonts w:hint="eastAsia" w:ascii="仿宋_GB2312" w:hAnsi="仿宋_GB2312" w:eastAsia="仿宋_GB2312" w:cs="仿宋_GB2312"/>
          <w:sz w:val="32"/>
          <w:szCs w:val="32"/>
        </w:rPr>
        <w:t>建设同城双活数据中心和深汕容灾异地备份中心。围绕数据协同、技术协同、业务协同，制定统一的数据标准、接口规范、调用规则，加强政务流程优化再造，实现跨部门系统平台数据对接。依托数字政府统一平台支撑能力，强化与政府内外部业务协同，鼓励企业、社会团体开展数字化建设。</w:t>
      </w:r>
    </w:p>
    <w:p>
      <w:pPr>
        <w:pStyle w:val="40"/>
        <w:overflowPunct w:val="0"/>
        <w:spacing w:line="60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打造更聪明的新型智慧城市。</w:t>
      </w:r>
      <w:r>
        <w:rPr>
          <w:rFonts w:hint="eastAsia" w:ascii="仿宋_GB2312" w:hAnsi="仿宋_GB2312" w:eastAsia="仿宋_GB2312" w:cs="仿宋_GB2312"/>
          <w:sz w:val="32"/>
          <w:szCs w:val="32"/>
        </w:rPr>
        <w:t>建设具有深度学习能力的鹏城智能体，</w:t>
      </w:r>
      <w:r>
        <w:rPr>
          <w:rFonts w:hint="eastAsia" w:ascii="仿宋_GB2312" w:hAnsi="仿宋_GB2312" w:eastAsia="仿宋_GB2312" w:cs="仿宋_GB2312"/>
          <w:color w:val="000000"/>
          <w:sz w:val="32"/>
          <w:szCs w:val="32"/>
        </w:rPr>
        <w:t>打造泛在连接的统一门户、集约高效的智能中枢、标准统一的数字底座</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构建可视化城市空间数字平台，探索构建数字孪生城市，实现全要素数字化、城市运行可视化、城市管理决策协同化和智能化。以社会民生领域智慧平台建设为重点，建设公平普惠、便捷高效的智慧化民生服务体系，打造“云上城市”。加快传统基础设施数字化升级，推动城市公用设施、建筑、电网、地下管网等智能化改造，推广多功能智能杆、智慧水务、智慧燃气、智慧环保、智慧安防、智慧消防、智慧气象等应用。</w:t>
      </w:r>
    </w:p>
    <w:p>
      <w:pPr>
        <w:overflowPunct w:val="0"/>
        <w:adjustRightInd w:val="0"/>
        <w:snapToGrid w:val="0"/>
        <w:spacing w:line="600" w:lineRule="exact"/>
        <w:ind w:firstLine="640" w:firstLineChars="200"/>
        <w:rPr>
          <w:rFonts w:ascii="仿宋_GB2312" w:hAnsi="仿宋_GB2312" w:eastAsia="仿宋_GB2312" w:cs="仿宋_GB2312"/>
          <w:color w:val="000000"/>
          <w:sz w:val="32"/>
          <w:szCs w:val="32"/>
        </w:rPr>
      </w:pPr>
    </w:p>
    <w:p>
      <w:pPr>
        <w:widowControl/>
        <w:spacing w:line="600" w:lineRule="exact"/>
        <w:jc w:val="center"/>
        <w:outlineLvl w:val="2"/>
        <w:rPr>
          <w:rFonts w:ascii="楷体" w:hAnsi="楷体" w:eastAsia="楷体" w:cs="楷体"/>
          <w:b/>
          <w:bCs/>
          <w:color w:val="000000" w:themeColor="text1"/>
          <w:sz w:val="32"/>
          <w:szCs w:val="32"/>
          <w14:textFill>
            <w14:solidFill>
              <w14:schemeClr w14:val="tx1"/>
            </w14:solidFill>
          </w14:textFill>
        </w:rPr>
      </w:pPr>
      <w:bookmarkStart w:id="3069" w:name="_Toc32401"/>
      <w:bookmarkStart w:id="3070" w:name="_Toc2467"/>
      <w:bookmarkStart w:id="3071" w:name="_Toc27876"/>
      <w:bookmarkStart w:id="3072" w:name="_Toc5133"/>
      <w:bookmarkStart w:id="3073" w:name="_Toc1111"/>
      <w:r>
        <w:rPr>
          <w:rFonts w:hint="eastAsia" w:ascii="楷体" w:hAnsi="楷体" w:eastAsia="楷体" w:cs="楷体"/>
          <w:b/>
          <w:bCs/>
          <w:color w:val="000000" w:themeColor="text1"/>
          <w:sz w:val="32"/>
          <w:szCs w:val="32"/>
          <w14:textFill>
            <w14:solidFill>
              <w14:schemeClr w14:val="tx1"/>
            </w14:solidFill>
          </w14:textFill>
        </w:rPr>
        <w:t>第四节 营造开放健康安全的数字生态</w:t>
      </w:r>
      <w:bookmarkEnd w:id="3069"/>
      <w:bookmarkEnd w:id="3070"/>
      <w:bookmarkEnd w:id="3071"/>
      <w:bookmarkEnd w:id="3072"/>
      <w:bookmarkEnd w:id="3073"/>
    </w:p>
    <w:p>
      <w:pPr>
        <w:spacing w:line="60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构建数据要素高效配置体系。</w:t>
      </w:r>
      <w:r>
        <w:rPr>
          <w:rFonts w:hint="eastAsia" w:ascii="仿宋_GB2312" w:hAnsi="仿宋_GB2312" w:eastAsia="仿宋_GB2312" w:cs="仿宋_GB2312"/>
          <w:sz w:val="32"/>
          <w:szCs w:val="32"/>
        </w:rPr>
        <w:t>出台深圳经济特区数据条例，完善</w:t>
      </w:r>
      <w:r>
        <w:rPr>
          <w:rStyle w:val="37"/>
          <w:rFonts w:hint="eastAsia" w:ascii="仿宋_GB2312" w:hAnsi="仿宋_GB2312" w:eastAsia="仿宋_GB2312" w:cs="仿宋_GB2312"/>
          <w:sz w:val="32"/>
          <w:szCs w:val="32"/>
        </w:rPr>
        <w:t>数据所有权、使用权、收益权和分类分级保护机制</w:t>
      </w:r>
      <w:r>
        <w:rPr>
          <w:rFonts w:hint="eastAsia" w:ascii="仿宋_GB2312" w:hAnsi="仿宋_GB2312" w:eastAsia="仿宋_GB2312" w:cs="仿宋_GB2312"/>
          <w:sz w:val="32"/>
          <w:szCs w:val="32"/>
        </w:rPr>
        <w:t>。建立健全统一的政府数据开放平台，</w:t>
      </w:r>
      <w:r>
        <w:rPr>
          <w:rFonts w:hint="eastAsia" w:ascii="仿宋_GB2312" w:hAnsi="仿宋_GB2312" w:eastAsia="仿宋_GB2312" w:cs="仿宋_GB2312"/>
          <w:bCs/>
          <w:sz w:val="32"/>
          <w:szCs w:val="32"/>
        </w:rPr>
        <w:t>推进公共数据资源开发利用</w:t>
      </w:r>
      <w:r>
        <w:rPr>
          <w:rFonts w:hint="eastAsia" w:ascii="仿宋_GB2312" w:hAnsi="仿宋_GB2312" w:eastAsia="仿宋_GB2312" w:cs="仿宋_GB2312"/>
          <w:sz w:val="32"/>
          <w:szCs w:val="32"/>
        </w:rPr>
        <w:t>。引导社会机构依法开放自有数据，推动政务数据与社会化数据平台对接，探索政企数据机制化融通利用。研究推进设立数据交易市场或依托现有交易场所开展数据交易，推动数据资源资产化管理，</w:t>
      </w:r>
      <w:r>
        <w:rPr>
          <w:rStyle w:val="37"/>
          <w:rFonts w:hint="eastAsia" w:ascii="仿宋_GB2312" w:hAnsi="仿宋_GB2312" w:eastAsia="仿宋_GB2312" w:cs="仿宋_GB2312"/>
          <w:sz w:val="32"/>
          <w:szCs w:val="32"/>
        </w:rPr>
        <w:t>构建安全可控的跨境数据流动监管机制。</w:t>
      </w:r>
    </w:p>
    <w:p>
      <w:pPr>
        <w:spacing w:line="60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完善数字经济政策体系。</w:t>
      </w:r>
      <w:r>
        <w:rPr>
          <w:rFonts w:hint="eastAsia" w:ascii="仿宋_GB2312" w:hAnsi="仿宋_GB2312" w:eastAsia="仿宋_GB2312" w:cs="仿宋_GB2312"/>
          <w:sz w:val="32"/>
          <w:szCs w:val="32"/>
        </w:rPr>
        <w:t>积极参与数字领域国际规则和标准制定，提出更多“深圳方案”。健全共享经济、平台经济和新个体经济管理规范，依法加强互联网平台经济监管。探索建立无人驾驶、在线医疗、金融科技、智能配送等监管机制。优化数字经济产业布局，推动产业园区数字化改造，引导各区形成前沿创新、应用融合、新兴领域拓展等数字产业差异化发展路径。健全数字经济统计监测体系。</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提高网络安全水平。</w:t>
      </w:r>
      <w:r>
        <w:rPr>
          <w:rFonts w:hint="eastAsia" w:ascii="仿宋_GB2312" w:hAnsi="仿宋_GB2312" w:eastAsia="仿宋_GB2312" w:cs="仿宋_GB2312"/>
          <w:sz w:val="32"/>
          <w:szCs w:val="32"/>
        </w:rPr>
        <w:t>健全网络安全态势感知、监测预警和应急处置机制的安全防护体系，加强网络不良信息技术监管处置能力，强化关键信息基础设施防护。推动安全可信技术、数据脱敏算法、数字水印等网络安全技术和应用创新，大力发展网络安全产业，形成一批具有国际竞争力的网络安全骨干企业，打造网络安全产业集聚区。加强新兴领域网络安全威胁和风险分析，提升全社会网络安全意识，依法严厉打击电信网络诈骗和新型网络犯罪、侵犯公民个人隐私等违法犯罪行为，营造清朗网络空间。</w:t>
      </w:r>
    </w:p>
    <w:p>
      <w:pPr>
        <w:spacing w:line="600" w:lineRule="exact"/>
        <w:ind w:firstLine="640" w:firstLineChars="200"/>
        <w:outlineLvl w:val="1"/>
        <w:rPr>
          <w:rFonts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p>
      <w:pPr>
        <w:spacing w:line="600" w:lineRule="exact"/>
        <w:jc w:val="center"/>
        <w:outlineLvl w:val="0"/>
        <w:rPr>
          <w:rFonts w:ascii="黑体" w:hAnsi="黑体" w:eastAsia="黑体" w:cs="黑体"/>
          <w:sz w:val="40"/>
          <w:szCs w:val="40"/>
        </w:rPr>
      </w:pPr>
      <w:bookmarkStart w:id="3074" w:name="_Toc14800"/>
      <w:bookmarkStart w:id="3075" w:name="_Toc13852"/>
      <w:bookmarkStart w:id="3076" w:name="_Toc12350"/>
      <w:bookmarkStart w:id="3077" w:name="_Toc12471"/>
      <w:bookmarkStart w:id="3078" w:name="_Toc26833"/>
      <w:bookmarkStart w:id="3079" w:name="_Toc32355"/>
      <w:bookmarkStart w:id="3080" w:name="_Toc12116"/>
      <w:bookmarkStart w:id="3081" w:name="_Toc1879"/>
      <w:bookmarkStart w:id="3082" w:name="_Toc8983"/>
      <w:bookmarkStart w:id="3083" w:name="_Toc5441"/>
      <w:bookmarkStart w:id="3084" w:name="_Toc23207"/>
      <w:bookmarkStart w:id="3085" w:name="_Toc2244"/>
      <w:bookmarkStart w:id="3086" w:name="_Toc12534"/>
      <w:bookmarkStart w:id="3087" w:name="_Toc27853"/>
      <w:bookmarkStart w:id="3088" w:name="_Toc31665"/>
      <w:bookmarkStart w:id="3089" w:name="_Toc19328"/>
      <w:bookmarkStart w:id="3090" w:name="_Toc8994"/>
      <w:bookmarkStart w:id="3091" w:name="_Toc3755"/>
      <w:bookmarkStart w:id="3092" w:name="_Toc17144"/>
      <w:bookmarkStart w:id="3093" w:name="_Toc25220"/>
      <w:bookmarkStart w:id="3094" w:name="_Toc22961"/>
      <w:bookmarkStart w:id="3095" w:name="_Toc25981"/>
      <w:bookmarkStart w:id="3096" w:name="_Toc25504"/>
      <w:bookmarkStart w:id="3097" w:name="_Toc23586"/>
      <w:bookmarkStart w:id="3098" w:name="_Toc5594"/>
      <w:bookmarkStart w:id="3099" w:name="_Toc20147"/>
      <w:bookmarkStart w:id="3100" w:name="_Toc30267"/>
      <w:bookmarkStart w:id="3101" w:name="_Toc15267"/>
      <w:bookmarkStart w:id="3102" w:name="_Toc2837"/>
      <w:bookmarkStart w:id="3103" w:name="_Toc1376"/>
      <w:bookmarkStart w:id="3104" w:name="_Toc24394"/>
      <w:bookmarkStart w:id="3105" w:name="_Toc4177"/>
      <w:bookmarkStart w:id="3106" w:name="_Toc15000"/>
      <w:bookmarkStart w:id="3107" w:name="_Toc20183"/>
      <w:bookmarkStart w:id="3108" w:name="_Toc12021"/>
      <w:bookmarkStart w:id="3109" w:name="_Toc17480"/>
      <w:bookmarkStart w:id="3110" w:name="_Toc3724"/>
      <w:bookmarkStart w:id="3111" w:name="_Toc18942"/>
      <w:bookmarkStart w:id="3112" w:name="_Toc9917"/>
      <w:bookmarkStart w:id="3113" w:name="_Toc10928"/>
      <w:bookmarkStart w:id="3114" w:name="_Toc20368"/>
      <w:bookmarkStart w:id="3115" w:name="_Toc5447"/>
      <w:bookmarkStart w:id="3116" w:name="_Toc18851"/>
      <w:bookmarkStart w:id="3117" w:name="_Toc3296"/>
      <w:bookmarkStart w:id="3118" w:name="_Toc3877"/>
      <w:bookmarkStart w:id="3119" w:name="_Toc1325"/>
      <w:bookmarkStart w:id="3120" w:name="_Toc32301"/>
      <w:bookmarkStart w:id="3121" w:name="_Toc31970"/>
      <w:bookmarkStart w:id="3122" w:name="_Toc27166"/>
      <w:bookmarkStart w:id="3123" w:name="_Toc2161"/>
      <w:bookmarkStart w:id="3124" w:name="_Toc512"/>
      <w:bookmarkStart w:id="3125" w:name="_Toc24639"/>
      <w:bookmarkStart w:id="3126" w:name="_Toc22905"/>
      <w:bookmarkStart w:id="3127" w:name="_Toc29677"/>
      <w:bookmarkStart w:id="3128" w:name="_Toc18252"/>
      <w:bookmarkStart w:id="3129" w:name="_Toc22515"/>
      <w:bookmarkStart w:id="3130" w:name="_Toc12465"/>
      <w:bookmarkStart w:id="3131" w:name="_Toc5663"/>
      <w:bookmarkStart w:id="3132" w:name="_Toc31476"/>
      <w:bookmarkStart w:id="3133" w:name="_Toc22519"/>
      <w:bookmarkStart w:id="3134" w:name="_Toc22854"/>
      <w:bookmarkStart w:id="3135" w:name="_Toc7947"/>
      <w:bookmarkStart w:id="3136" w:name="_Toc29152"/>
      <w:bookmarkStart w:id="3137" w:name="_Toc18570"/>
      <w:bookmarkStart w:id="3138" w:name="_Toc9669"/>
      <w:bookmarkStart w:id="3139" w:name="_Toc12864"/>
      <w:bookmarkStart w:id="3140" w:name="_Toc101"/>
      <w:bookmarkStart w:id="3141" w:name="_Toc14707"/>
      <w:bookmarkStart w:id="3142" w:name="_Toc10575"/>
      <w:bookmarkStart w:id="3143" w:name="_Toc24979"/>
      <w:bookmarkStart w:id="3144" w:name="_Toc1050"/>
      <w:bookmarkStart w:id="3145" w:name="_Toc16114"/>
      <w:bookmarkStart w:id="3146" w:name="_Toc21768"/>
      <w:bookmarkStart w:id="3147" w:name="_Toc25294"/>
      <w:bookmarkStart w:id="3148" w:name="_Toc6626"/>
      <w:bookmarkStart w:id="3149" w:name="_Toc14717"/>
      <w:bookmarkStart w:id="3150" w:name="_Toc2711"/>
      <w:bookmarkStart w:id="3151" w:name="_Toc4617"/>
      <w:r>
        <w:rPr>
          <w:rFonts w:hint="eastAsia" w:ascii="黑体" w:hAnsi="黑体" w:eastAsia="黑体" w:cs="黑体"/>
          <w:sz w:val="40"/>
          <w:szCs w:val="40"/>
        </w:rPr>
        <w:t>第五篇 率先塑造展现社会主义文化繁荣兴盛的现代城市文明</w:t>
      </w:r>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p>
    <w:p>
      <w:pPr>
        <w:pStyle w:val="8"/>
        <w:spacing w:line="600" w:lineRule="exact"/>
      </w:pPr>
    </w:p>
    <w:p>
      <w:pPr>
        <w:overflowPunct w:val="0"/>
        <w:autoSpaceDE w:val="0"/>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Arial" w:eastAsia="仿宋_GB2312" w:cs="Arial"/>
          <w:color w:val="1C1C1C"/>
          <w:sz w:val="32"/>
          <w:szCs w:val="32"/>
        </w:rPr>
        <w:t>坚持以社会主义核心价值观引领文化建设</w:t>
      </w:r>
      <w:r>
        <w:rPr>
          <w:rFonts w:hint="eastAsia" w:ascii="仿宋_GB2312" w:hAnsi="仿宋_GB2312" w:eastAsia="仿宋_GB2312" w:cs="仿宋_GB2312"/>
          <w:sz w:val="32"/>
          <w:szCs w:val="32"/>
        </w:rPr>
        <w:t>，坚定文化自信，牢牢把握社会主义先进文化前进方向，不断激发全社会文化创新创造活力，提高城市文化软实力，加强公共文化设施建设，更好满足人民精神文化生活新期待。</w:t>
      </w:r>
    </w:p>
    <w:p>
      <w:pPr>
        <w:pStyle w:val="8"/>
        <w:spacing w:line="600" w:lineRule="exact"/>
      </w:pPr>
    </w:p>
    <w:p>
      <w:pPr>
        <w:spacing w:line="600" w:lineRule="exact"/>
        <w:jc w:val="center"/>
        <w:outlineLvl w:val="1"/>
        <w:rPr>
          <w:rFonts w:ascii="黑体" w:hAnsi="黑体" w:eastAsia="黑体" w:cs="黑体"/>
          <w:sz w:val="36"/>
          <w:szCs w:val="36"/>
        </w:rPr>
      </w:pPr>
      <w:bookmarkStart w:id="3152" w:name="_Toc16531"/>
      <w:bookmarkStart w:id="3153" w:name="_Toc25645"/>
      <w:bookmarkStart w:id="3154" w:name="_Toc9708"/>
      <w:bookmarkStart w:id="3155" w:name="_Toc29524"/>
      <w:bookmarkStart w:id="3156" w:name="_Toc1459"/>
      <w:bookmarkStart w:id="3157" w:name="_Toc25835"/>
      <w:bookmarkStart w:id="3158" w:name="_Toc12291"/>
      <w:bookmarkStart w:id="3159" w:name="_Toc32549"/>
      <w:bookmarkStart w:id="3160" w:name="_Toc11350"/>
      <w:bookmarkStart w:id="3161" w:name="_Toc17467"/>
      <w:bookmarkStart w:id="3162" w:name="_Toc8505"/>
      <w:bookmarkStart w:id="3163" w:name="_Toc29198"/>
      <w:bookmarkStart w:id="3164" w:name="_Toc25778"/>
      <w:bookmarkStart w:id="3165" w:name="_Toc3254"/>
      <w:bookmarkStart w:id="3166" w:name="_Toc4353"/>
      <w:bookmarkStart w:id="3167" w:name="_Toc30745"/>
      <w:bookmarkStart w:id="3168" w:name="_Toc3486"/>
      <w:bookmarkStart w:id="3169" w:name="_Toc3614"/>
      <w:bookmarkStart w:id="3170" w:name="_Toc9849"/>
      <w:bookmarkStart w:id="3171" w:name="_Toc5112"/>
      <w:bookmarkStart w:id="3172" w:name="_Toc12490"/>
      <w:bookmarkStart w:id="3173" w:name="_Toc2941"/>
      <w:bookmarkStart w:id="3174" w:name="_Toc22760"/>
      <w:bookmarkStart w:id="3175" w:name="_Toc5130"/>
      <w:bookmarkStart w:id="3176" w:name="_Toc5534"/>
      <w:bookmarkStart w:id="3177" w:name="_Toc30762"/>
      <w:bookmarkStart w:id="3178" w:name="_Toc3024"/>
      <w:bookmarkStart w:id="3179" w:name="_Toc22203"/>
      <w:bookmarkStart w:id="3180" w:name="_Toc23994"/>
      <w:bookmarkStart w:id="3181" w:name="_Toc3140"/>
      <w:bookmarkStart w:id="3182" w:name="_Toc28250"/>
      <w:bookmarkStart w:id="3183" w:name="_Toc18088"/>
      <w:bookmarkStart w:id="3184" w:name="_Toc7881"/>
      <w:bookmarkStart w:id="3185" w:name="_Toc22440"/>
      <w:bookmarkStart w:id="3186" w:name="_Toc21142"/>
      <w:bookmarkStart w:id="3187" w:name="_Toc31621"/>
      <w:bookmarkStart w:id="3188" w:name="_Toc9365"/>
      <w:bookmarkStart w:id="3189" w:name="_Toc11178"/>
      <w:bookmarkStart w:id="3190" w:name="_Toc6576"/>
      <w:bookmarkStart w:id="3191" w:name="_Toc10010"/>
      <w:bookmarkStart w:id="3192" w:name="_Toc16594"/>
      <w:bookmarkStart w:id="3193" w:name="_Toc3996"/>
      <w:bookmarkStart w:id="3194" w:name="_Toc13020"/>
      <w:bookmarkStart w:id="3195" w:name="_Toc1651"/>
      <w:bookmarkStart w:id="3196" w:name="_Toc8738"/>
      <w:bookmarkStart w:id="3197" w:name="_Toc23310"/>
      <w:bookmarkStart w:id="3198" w:name="_Toc19728"/>
      <w:bookmarkStart w:id="3199" w:name="_Toc18961"/>
      <w:bookmarkStart w:id="3200" w:name="_Toc18828"/>
      <w:bookmarkStart w:id="3201" w:name="_Toc8483"/>
      <w:bookmarkStart w:id="3202" w:name="_Toc15387"/>
      <w:bookmarkStart w:id="3203" w:name="_Toc6545"/>
      <w:bookmarkStart w:id="3204" w:name="_Toc26726"/>
      <w:bookmarkStart w:id="3205" w:name="_Toc11529"/>
      <w:bookmarkStart w:id="3206" w:name="_Toc31525"/>
      <w:bookmarkStart w:id="3207" w:name="_Toc11099"/>
      <w:bookmarkStart w:id="3208" w:name="_Toc16824"/>
      <w:bookmarkStart w:id="3209" w:name="_Toc13781"/>
      <w:bookmarkStart w:id="3210" w:name="_Toc26569"/>
      <w:bookmarkStart w:id="3211" w:name="_Toc25939"/>
      <w:bookmarkStart w:id="3212" w:name="_Toc16697"/>
      <w:bookmarkStart w:id="3213" w:name="_Toc15401"/>
      <w:bookmarkStart w:id="3214" w:name="_Toc11148"/>
      <w:bookmarkStart w:id="3215" w:name="_Toc16776"/>
      <w:bookmarkStart w:id="3216" w:name="_Toc6630"/>
      <w:bookmarkStart w:id="3217" w:name="_Toc1520"/>
      <w:bookmarkStart w:id="3218" w:name="_Toc26469"/>
      <w:bookmarkStart w:id="3219" w:name="_Toc4829"/>
      <w:bookmarkStart w:id="3220" w:name="_Toc6977"/>
      <w:bookmarkStart w:id="3221" w:name="_Toc7872"/>
      <w:bookmarkStart w:id="3222" w:name="_Toc29277"/>
      <w:bookmarkStart w:id="3223" w:name="_Toc28612"/>
      <w:bookmarkStart w:id="3224" w:name="_Toc7987"/>
      <w:bookmarkStart w:id="3225" w:name="_Toc17535"/>
      <w:bookmarkStart w:id="3226" w:name="_Toc8327"/>
      <w:r>
        <w:rPr>
          <w:rFonts w:hint="eastAsia" w:ascii="黑体" w:hAnsi="黑体" w:eastAsia="黑体" w:cs="黑体"/>
          <w:sz w:val="36"/>
          <w:szCs w:val="36"/>
        </w:rPr>
        <w:t>第十章 建设彰显国家文化软实力的现代文明之城</w:t>
      </w:r>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p>
    <w:bookmarkEnd w:id="3225"/>
    <w:bookmarkEnd w:id="3226"/>
    <w:p>
      <w:pPr>
        <w:pStyle w:val="14"/>
        <w:spacing w:line="600" w:lineRule="exact"/>
      </w:pPr>
    </w:p>
    <w:p>
      <w:pPr>
        <w:overflowPunct w:val="0"/>
        <w:autoSpaceDE w:val="0"/>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深化中国特色社会主义和中国梦宣传教育，构建普惠性、高质量、可持续的城市公共文化服务体系，</w:t>
      </w:r>
      <w:r>
        <w:rPr>
          <w:rFonts w:hint="eastAsia" w:ascii="仿宋_GB2312" w:hAnsi="Arial" w:eastAsia="仿宋_GB2312" w:cs="Arial"/>
          <w:color w:val="1C1C1C"/>
          <w:sz w:val="32"/>
          <w:szCs w:val="32"/>
        </w:rPr>
        <w:t>促进满足人民文化需求和增强人民精神力量相统一</w:t>
      </w:r>
      <w:r>
        <w:rPr>
          <w:rFonts w:hint="eastAsia" w:ascii="仿宋_GB2312" w:hAnsi="仿宋_GB2312" w:eastAsia="仿宋_GB2312" w:cs="仿宋_GB2312"/>
          <w:sz w:val="32"/>
          <w:szCs w:val="32"/>
        </w:rPr>
        <w:t>。</w:t>
      </w:r>
    </w:p>
    <w:p>
      <w:pPr>
        <w:pStyle w:val="14"/>
        <w:spacing w:line="600" w:lineRule="exact"/>
      </w:pPr>
    </w:p>
    <w:p>
      <w:pPr>
        <w:spacing w:line="600" w:lineRule="exact"/>
        <w:jc w:val="center"/>
        <w:outlineLvl w:val="2"/>
        <w:rPr>
          <w:rFonts w:ascii="楷体" w:hAnsi="楷体" w:eastAsia="楷体" w:cs="楷体"/>
          <w:b/>
          <w:bCs/>
          <w:sz w:val="32"/>
          <w:szCs w:val="32"/>
        </w:rPr>
      </w:pPr>
      <w:bookmarkStart w:id="3227" w:name="_Toc4849"/>
      <w:bookmarkStart w:id="3228" w:name="_Toc3105"/>
      <w:bookmarkStart w:id="3229" w:name="_Toc22672"/>
      <w:bookmarkStart w:id="3230" w:name="_Toc28534"/>
      <w:bookmarkStart w:id="3231" w:name="_Toc18701"/>
      <w:bookmarkStart w:id="3232" w:name="_Toc17548"/>
      <w:bookmarkStart w:id="3233" w:name="_Toc20133"/>
      <w:bookmarkStart w:id="3234" w:name="_Toc27638"/>
      <w:bookmarkStart w:id="3235" w:name="_Toc23754"/>
      <w:bookmarkStart w:id="3236" w:name="_Toc13976"/>
      <w:bookmarkStart w:id="3237" w:name="_Toc11824"/>
      <w:bookmarkStart w:id="3238" w:name="_Toc26699"/>
      <w:bookmarkStart w:id="3239" w:name="_Toc18728"/>
      <w:bookmarkStart w:id="3240" w:name="_Toc822"/>
      <w:bookmarkStart w:id="3241" w:name="_Toc14494"/>
      <w:bookmarkStart w:id="3242" w:name="_Toc29528"/>
      <w:bookmarkStart w:id="3243" w:name="_Toc32725"/>
      <w:bookmarkStart w:id="3244" w:name="_Toc27435"/>
      <w:bookmarkStart w:id="3245" w:name="_Toc15900"/>
      <w:bookmarkStart w:id="3246" w:name="_Toc22207"/>
      <w:bookmarkStart w:id="3247" w:name="_Toc5884"/>
      <w:bookmarkStart w:id="3248" w:name="_Toc28157"/>
      <w:bookmarkStart w:id="3249" w:name="_Toc31459"/>
      <w:bookmarkStart w:id="3250" w:name="_Toc25125"/>
      <w:bookmarkStart w:id="3251" w:name="_Toc19959"/>
      <w:bookmarkStart w:id="3252" w:name="_Toc1713"/>
      <w:bookmarkStart w:id="3253" w:name="_Toc7496"/>
      <w:bookmarkStart w:id="3254" w:name="_Toc26147"/>
      <w:bookmarkStart w:id="3255" w:name="_Toc31114"/>
      <w:bookmarkStart w:id="3256" w:name="_Toc6745"/>
      <w:bookmarkStart w:id="3257" w:name="_Toc16018"/>
      <w:bookmarkStart w:id="3258" w:name="_Toc15192"/>
      <w:bookmarkStart w:id="3259" w:name="_Toc7685"/>
      <w:bookmarkStart w:id="3260" w:name="_Toc18578"/>
      <w:bookmarkStart w:id="3261" w:name="_Toc31490"/>
      <w:bookmarkStart w:id="3262" w:name="_Toc30471"/>
      <w:bookmarkStart w:id="3263" w:name="_Toc16946"/>
      <w:bookmarkStart w:id="3264" w:name="_Toc15056"/>
      <w:bookmarkStart w:id="3265" w:name="_Toc28856"/>
      <w:bookmarkStart w:id="3266" w:name="_Toc2092"/>
      <w:bookmarkStart w:id="3267" w:name="_Toc12106"/>
      <w:bookmarkStart w:id="3268" w:name="_Toc13918"/>
      <w:bookmarkStart w:id="3269" w:name="_Toc27022"/>
      <w:bookmarkStart w:id="3270" w:name="_Toc25284"/>
      <w:bookmarkStart w:id="3271" w:name="_Toc5031"/>
      <w:bookmarkStart w:id="3272" w:name="_Toc19253"/>
      <w:bookmarkStart w:id="3273" w:name="_Toc3443"/>
      <w:bookmarkStart w:id="3274" w:name="_Toc10631"/>
      <w:bookmarkStart w:id="3275" w:name="_Toc12734"/>
      <w:bookmarkStart w:id="3276" w:name="_Toc18712"/>
      <w:bookmarkStart w:id="3277" w:name="_Toc8648"/>
      <w:bookmarkStart w:id="3278" w:name="_Toc28442"/>
      <w:bookmarkStart w:id="3279" w:name="_Toc208"/>
      <w:bookmarkStart w:id="3280" w:name="_Toc29189"/>
      <w:bookmarkStart w:id="3281" w:name="_Toc9086"/>
      <w:bookmarkStart w:id="3282" w:name="_Toc7318"/>
      <w:bookmarkStart w:id="3283" w:name="_Toc21413"/>
      <w:bookmarkStart w:id="3284" w:name="_Toc24435"/>
      <w:bookmarkStart w:id="3285" w:name="_Toc28852"/>
      <w:bookmarkStart w:id="3286" w:name="_Toc22933"/>
      <w:bookmarkStart w:id="3287" w:name="_Toc30939"/>
      <w:bookmarkStart w:id="3288" w:name="_Toc17408"/>
      <w:bookmarkStart w:id="3289" w:name="_Toc10412"/>
      <w:bookmarkStart w:id="3290" w:name="_Toc13045"/>
      <w:bookmarkStart w:id="3291" w:name="_Toc4359"/>
      <w:bookmarkStart w:id="3292" w:name="_Toc11956"/>
      <w:bookmarkStart w:id="3293" w:name="_Toc10361"/>
      <w:bookmarkStart w:id="3294" w:name="_Toc8550"/>
      <w:bookmarkStart w:id="3295" w:name="_Toc28075"/>
      <w:bookmarkStart w:id="3296" w:name="_Toc31795"/>
      <w:bookmarkStart w:id="3297" w:name="_Toc7530"/>
      <w:bookmarkStart w:id="3298" w:name="_Toc26571"/>
      <w:bookmarkStart w:id="3299" w:name="_Toc26106"/>
      <w:bookmarkStart w:id="3300" w:name="_Toc1261"/>
      <w:bookmarkStart w:id="3301" w:name="_Toc22164"/>
      <w:r>
        <w:rPr>
          <w:rFonts w:hint="eastAsia" w:ascii="楷体" w:hAnsi="楷体" w:eastAsia="楷体" w:cs="楷体"/>
          <w:b/>
          <w:bCs/>
          <w:sz w:val="32"/>
          <w:szCs w:val="32"/>
        </w:rPr>
        <w:t>第一节 全面推进城市精神文明建设</w:t>
      </w:r>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p>
    <w:p>
      <w:pPr>
        <w:overflowPunct w:val="0"/>
        <w:autoSpaceDE w:val="0"/>
        <w:adjustRightInd w:val="0"/>
        <w:snapToGrid w:val="0"/>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加强中国特色社会主义理论建设。</w:t>
      </w:r>
      <w:r>
        <w:rPr>
          <w:rFonts w:hint="eastAsia" w:ascii="仿宋_GB2312" w:hAnsi="仿宋_GB2312" w:eastAsia="仿宋_GB2312" w:cs="仿宋_GB2312"/>
          <w:sz w:val="32"/>
          <w:szCs w:val="32"/>
        </w:rPr>
        <w:t>深入实施习近平新时代中国特色社会主义思想传播工程和铸魂立德工程，推进马克思主义理论研究和建设工程，建好用好“学习强国”深圳学习平台。繁荣发展哲学社会科学，推进具有深圳特色的哲学社会科学学科体系、学术体系、话语体系建设，强化人文社会科学重点研究基地、学术平台和新型智库建设。加强党史研究、党史学习、党史宣教、党史纪念、党史资料征编和党史遗址保护等工作，推进深圳党史馆、国家方志馆特区分馆建设，启动全市第三轮修志工作。构建档案治理体系，健全档案资源体系、利用体系、安全体系，实施“智慧档案”建设，用好用活档案资源，积极服务党史、新中国史、改革开放史、社会主义发展史学习宣传教育。聚焦中国共产党成立100周年，组织开展系列宣传教育实践活动。</w:t>
      </w:r>
    </w:p>
    <w:p>
      <w:pPr>
        <w:overflowPunct w:val="0"/>
        <w:autoSpaceDE w:val="0"/>
        <w:adjustRightInd w:val="0"/>
        <w:snapToGrid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模范践行社会主义核心价值观。</w:t>
      </w:r>
      <w:r>
        <w:rPr>
          <w:rFonts w:hint="eastAsia" w:ascii="仿宋_GB2312" w:hAnsi="仿宋_GB2312" w:eastAsia="仿宋_GB2312" w:cs="仿宋_GB2312"/>
          <w:sz w:val="32"/>
          <w:szCs w:val="32"/>
        </w:rPr>
        <w:t>完善社会主义核心价值观推广体系，建设基层新时代文明实践中心，建成一批核心价值观示范点，教育引导广大干部群众特别是青少年坚定中国特色社会主义道路自信、理论自信、制度自信、文化自信。弘扬以爱国主义为核心的民族精神和以改革创新为核心的时代精神，继续发扬敢闯敢试、敢为人先、埋头苦干的特区精神，大力践行“敢闯敢试、开放包容、务实尚法、追求卓越”的新时代深圳精神，</w:t>
      </w:r>
      <w:r>
        <w:rPr>
          <w:rFonts w:hint="eastAsia" w:ascii="仿宋_GB2312" w:hAnsi="仿宋_GB2312" w:eastAsia="仿宋_GB2312" w:cs="仿宋_GB2312"/>
          <w:sz w:val="32"/>
          <w:szCs w:val="32"/>
          <w:lang w:val="zh-CN"/>
        </w:rPr>
        <w:t>进一步激发和弘扬企业家精神、</w:t>
      </w:r>
      <w:r>
        <w:rPr>
          <w:rFonts w:hint="eastAsia" w:ascii="仿宋_GB2312" w:hAnsi="仿宋_GB2312" w:eastAsia="仿宋_GB2312" w:cs="仿宋_GB2312"/>
          <w:sz w:val="32"/>
          <w:szCs w:val="32"/>
        </w:rPr>
        <w:t>工匠精神和契约精神。</w:t>
      </w:r>
    </w:p>
    <w:p>
      <w:pPr>
        <w:overflowPunct w:val="0"/>
        <w:autoSpaceDE w:val="0"/>
        <w:adjustRightInd w:val="0"/>
        <w:snapToGrid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全面提升城市文明水平。</w:t>
      </w:r>
      <w:r>
        <w:rPr>
          <w:rFonts w:hint="eastAsia" w:ascii="仿宋_GB2312" w:hAnsi="仿宋_GB2312" w:eastAsia="仿宋_GB2312" w:cs="仿宋_GB2312"/>
          <w:sz w:val="32"/>
          <w:szCs w:val="32"/>
        </w:rPr>
        <w:t>开展市民文明素养提升行动，强化社会公德、职业道德、家庭美德、个人品德教育，加强诚信深圳建设。深化全国文明城市创建，完善公共环境、公共秩序精细化管理长效机制。持续开展关爱行动、成人礼等精神文明建设品牌活动，推动志愿服务制度化、社会化、专业化，打造“关爱之城”“志愿者之城”升级版</w:t>
      </w:r>
      <w:r>
        <w:rPr>
          <w:rFonts w:hint="eastAsia" w:ascii="仿宋_GB2312" w:hAnsi="仿宋_GB2312" w:eastAsia="仿宋_GB2312" w:cs="仿宋_GB2312"/>
          <w:bCs/>
          <w:sz w:val="32"/>
          <w:szCs w:val="32"/>
        </w:rPr>
        <w:t>。到2025年，每万人注册志愿者人数达到1600人。</w:t>
      </w:r>
    </w:p>
    <w:p>
      <w:pPr>
        <w:overflowPunct w:val="0"/>
        <w:autoSpaceDE w:val="0"/>
        <w:adjustRightInd w:val="0"/>
        <w:snapToGrid w:val="0"/>
        <w:spacing w:line="600" w:lineRule="exact"/>
        <w:ind w:firstLine="640" w:firstLineChars="200"/>
        <w:rPr>
          <w:rFonts w:ascii="仿宋_GB2312" w:hAnsi="仿宋_GB2312" w:eastAsia="仿宋_GB2312" w:cs="仿宋_GB2312"/>
          <w:sz w:val="32"/>
          <w:szCs w:val="32"/>
        </w:rPr>
      </w:pPr>
    </w:p>
    <w:p>
      <w:pPr>
        <w:overflowPunct w:val="0"/>
        <w:autoSpaceDE w:val="0"/>
        <w:adjustRightInd w:val="0"/>
        <w:snapToGrid w:val="0"/>
        <w:spacing w:line="600" w:lineRule="exact"/>
        <w:ind w:firstLine="640" w:firstLineChars="200"/>
        <w:rPr>
          <w:rFonts w:ascii="仿宋_GB2312" w:hAnsi="仿宋_GB2312" w:eastAsia="仿宋_GB2312" w:cs="仿宋_GB2312"/>
          <w:sz w:val="32"/>
          <w:szCs w:val="32"/>
        </w:rPr>
      </w:pPr>
    </w:p>
    <w:p>
      <w:pPr>
        <w:spacing w:line="600" w:lineRule="exact"/>
        <w:jc w:val="center"/>
        <w:outlineLvl w:val="2"/>
        <w:rPr>
          <w:rFonts w:ascii="楷体" w:hAnsi="楷体" w:eastAsia="楷体" w:cs="楷体"/>
          <w:b/>
          <w:bCs/>
          <w:sz w:val="32"/>
          <w:szCs w:val="32"/>
        </w:rPr>
      </w:pPr>
      <w:bookmarkStart w:id="3302" w:name="_Toc25182"/>
      <w:bookmarkStart w:id="3303" w:name="_Toc24543"/>
      <w:bookmarkStart w:id="3304" w:name="_Toc4942"/>
      <w:bookmarkStart w:id="3305" w:name="_Toc10994"/>
      <w:bookmarkStart w:id="3306" w:name="_Toc8074"/>
      <w:bookmarkStart w:id="3307" w:name="_Toc24010"/>
      <w:bookmarkStart w:id="3308" w:name="_Toc7148"/>
      <w:bookmarkStart w:id="3309" w:name="_Toc14976"/>
      <w:bookmarkStart w:id="3310" w:name="_Toc13422"/>
      <w:bookmarkStart w:id="3311" w:name="_Toc26185"/>
      <w:bookmarkStart w:id="3312" w:name="_Toc927"/>
      <w:bookmarkStart w:id="3313" w:name="_Toc25845"/>
      <w:bookmarkStart w:id="3314" w:name="_Toc13903"/>
      <w:bookmarkStart w:id="3315" w:name="_Toc7096"/>
      <w:bookmarkStart w:id="3316" w:name="_Toc19907"/>
      <w:bookmarkStart w:id="3317" w:name="_Toc13401"/>
      <w:bookmarkStart w:id="3318" w:name="_Toc1891"/>
      <w:bookmarkStart w:id="3319" w:name="_Toc14035"/>
      <w:bookmarkStart w:id="3320" w:name="_Toc14190"/>
      <w:bookmarkStart w:id="3321" w:name="_Toc10536"/>
      <w:bookmarkStart w:id="3322" w:name="_Toc29795"/>
      <w:bookmarkStart w:id="3323" w:name="_Toc9967"/>
      <w:bookmarkStart w:id="3324" w:name="_Toc5571"/>
      <w:bookmarkStart w:id="3325" w:name="_Toc30065"/>
      <w:bookmarkStart w:id="3326" w:name="_Toc4729"/>
      <w:bookmarkStart w:id="3327" w:name="_Toc17215"/>
      <w:bookmarkStart w:id="3328" w:name="_Toc21993"/>
      <w:bookmarkStart w:id="3329" w:name="_Toc26373"/>
      <w:bookmarkStart w:id="3330" w:name="_Toc26564"/>
      <w:bookmarkStart w:id="3331" w:name="_Toc23383"/>
      <w:bookmarkStart w:id="3332" w:name="_Toc21217"/>
      <w:bookmarkStart w:id="3333" w:name="_Toc18468"/>
      <w:bookmarkStart w:id="3334" w:name="_Toc28159"/>
      <w:bookmarkStart w:id="3335" w:name="_Toc13340"/>
      <w:bookmarkStart w:id="3336" w:name="_Toc24186"/>
      <w:bookmarkStart w:id="3337" w:name="_Toc963"/>
      <w:bookmarkStart w:id="3338" w:name="_Toc14576"/>
      <w:bookmarkStart w:id="3339" w:name="_Toc28145"/>
      <w:bookmarkStart w:id="3340" w:name="_Toc26584"/>
      <w:bookmarkStart w:id="3341" w:name="_Toc11429"/>
      <w:bookmarkStart w:id="3342" w:name="_Toc32313"/>
      <w:bookmarkStart w:id="3343" w:name="_Toc78"/>
      <w:bookmarkStart w:id="3344" w:name="_Toc4679"/>
      <w:bookmarkStart w:id="3345" w:name="_Toc8278"/>
      <w:bookmarkStart w:id="3346" w:name="_Toc25879"/>
      <w:bookmarkStart w:id="3347" w:name="_Toc10511"/>
      <w:bookmarkStart w:id="3348" w:name="_Toc16940"/>
      <w:bookmarkStart w:id="3349" w:name="_Toc6547"/>
      <w:bookmarkStart w:id="3350" w:name="_Toc24782"/>
      <w:bookmarkStart w:id="3351" w:name="_Toc16858"/>
      <w:bookmarkStart w:id="3352" w:name="_Toc14223"/>
      <w:bookmarkStart w:id="3353" w:name="_Toc24600"/>
      <w:bookmarkStart w:id="3354" w:name="_Toc12740"/>
      <w:bookmarkStart w:id="3355" w:name="_Toc23686"/>
      <w:bookmarkStart w:id="3356" w:name="_Toc8262"/>
      <w:bookmarkStart w:id="3357" w:name="_Toc17707"/>
      <w:bookmarkStart w:id="3358" w:name="_Toc14970"/>
      <w:bookmarkStart w:id="3359" w:name="_Toc29148"/>
      <w:bookmarkStart w:id="3360" w:name="_Toc22969"/>
      <w:bookmarkStart w:id="3361" w:name="_Toc20282"/>
      <w:bookmarkStart w:id="3362" w:name="_Toc12272"/>
      <w:bookmarkStart w:id="3363" w:name="_Toc29339"/>
      <w:bookmarkStart w:id="3364" w:name="_Toc28861"/>
      <w:bookmarkStart w:id="3365" w:name="_Toc2567"/>
      <w:bookmarkStart w:id="3366" w:name="_Toc31365"/>
      <w:bookmarkStart w:id="3367" w:name="_Toc21313"/>
      <w:bookmarkStart w:id="3368" w:name="_Toc24841"/>
      <w:bookmarkStart w:id="3369" w:name="_Toc20363"/>
      <w:bookmarkStart w:id="3370" w:name="_Toc12605"/>
      <w:bookmarkStart w:id="3371" w:name="_Toc4180"/>
      <w:bookmarkStart w:id="3372" w:name="_Toc1391"/>
      <w:bookmarkStart w:id="3373" w:name="_Toc30527"/>
      <w:bookmarkStart w:id="3374" w:name="_Toc6562"/>
      <w:r>
        <w:rPr>
          <w:rFonts w:hint="eastAsia" w:ascii="楷体" w:hAnsi="楷体" w:eastAsia="楷体" w:cs="楷体"/>
          <w:b/>
          <w:bCs/>
          <w:sz w:val="32"/>
          <w:szCs w:val="32"/>
        </w:rPr>
        <w:t>第二节 健全城市公共文化服务体系</w:t>
      </w:r>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p>
    <w:p>
      <w:pPr>
        <w:overflowPunct w:val="0"/>
        <w:autoSpaceDE w:val="0"/>
        <w:adjustRightInd w:val="0"/>
        <w:snapToGrid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kern w:val="0"/>
          <w:sz w:val="32"/>
          <w:szCs w:val="32"/>
        </w:rPr>
        <w:t>打造国际一流城市文化地标</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加快建设“新时代十大文化设施”，推动国家级博物馆、美术馆深圳分馆落地，打造时代精品、城市杰作、湾区地标。推进深圳市文化馆新馆等市级重大文体设施建设。全面完成“十大特色文化街区”改造提升，开展第二批特色文化街区建设，形成错落有致、相互呼应、充满活力的城市文化群落。在城市建设和更新中更多注入文化元素，鼓励对城市基础设施和城市建筑进行艺术化处理。</w:t>
      </w:r>
    </w:p>
    <w:p>
      <w:pPr>
        <w:overflowPunct w:val="0"/>
        <w:autoSpaceDE w:val="0"/>
        <w:adjustRightInd w:val="0"/>
        <w:snapToGrid w:val="0"/>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完善多层次公共文化服务体系。</w:t>
      </w:r>
      <w:r>
        <w:rPr>
          <w:rFonts w:hint="eastAsia" w:ascii="仿宋_GB2312" w:hAnsi="仿宋_GB2312" w:eastAsia="仿宋_GB2312" w:cs="仿宋_GB2312"/>
          <w:sz w:val="32"/>
          <w:szCs w:val="32"/>
        </w:rPr>
        <w:t>加强基层公共文化阵地建设，扩展基层文化场馆功能，开放更多公共设施成为文化活动场所，实现街道、社区等基层综合公共文化设施全覆盖，建成“十分钟文化服务圈”。推进文化馆、图书馆总分馆制建设，构建智慧化的数字文化平台，加快基层公共文化服务均等化发展，推动各层级公共文化资源的高效整合利用。深化“图书馆之城”和“一区一书城、一街道一书吧”建设，加大对实体书店支持力度，培育数字阅读新风尚，构建全民阅读“深圳标准”。</w:t>
      </w:r>
    </w:p>
    <w:p>
      <w:pPr>
        <w:overflowPunct w:val="0"/>
        <w:autoSpaceDE w:val="0"/>
        <w:adjustRightInd w:val="0"/>
        <w:snapToGrid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深化文化体制机制改革。</w:t>
      </w:r>
      <w:r>
        <w:rPr>
          <w:rFonts w:hint="eastAsia" w:ascii="仿宋_GB2312" w:hAnsi="仿宋_GB2312" w:eastAsia="仿宋_GB2312" w:cs="仿宋_GB2312"/>
          <w:sz w:val="32"/>
          <w:szCs w:val="32"/>
        </w:rPr>
        <w:t>完善公共文化服务标准体系和保障制度，优化公共文化服务评价内容和机制，创建国家级公共文化服务体系示范区。深化国有文艺院团改革，完善院团管理体制、运行机制和利益分配制度。完善政府面向社会购买公共文化服务机制，支持经营性文化设施、机构提供优惠或免费优质文化产品和服务。创新公共文化产品和服务供给方式，鼓励社会力量兴建、捐建或合建公共文化设施。创新文化场馆运营模式，适度配置文化、体育等非公益配套功能，引入专业化、社会化组织参与运营管理，提升文化场馆服务效能。</w:t>
      </w:r>
    </w:p>
    <w:p>
      <w:pPr>
        <w:pStyle w:val="11"/>
        <w:spacing w:line="600" w:lineRule="exact"/>
      </w:pPr>
    </w:p>
    <w:p>
      <w:pPr>
        <w:spacing w:line="600" w:lineRule="exact"/>
        <w:jc w:val="center"/>
        <w:outlineLvl w:val="2"/>
        <w:rPr>
          <w:rFonts w:ascii="楷体" w:hAnsi="楷体" w:eastAsia="楷体" w:cs="楷体"/>
          <w:b/>
          <w:bCs/>
          <w:sz w:val="32"/>
          <w:szCs w:val="32"/>
        </w:rPr>
      </w:pPr>
      <w:bookmarkStart w:id="3375" w:name="_Toc4800"/>
      <w:bookmarkStart w:id="3376" w:name="_Toc24623"/>
      <w:bookmarkStart w:id="3377" w:name="_Toc3476"/>
      <w:bookmarkStart w:id="3378" w:name="_Toc20564"/>
      <w:bookmarkStart w:id="3379" w:name="_Toc18771"/>
      <w:bookmarkStart w:id="3380" w:name="_Toc10205"/>
      <w:bookmarkStart w:id="3381" w:name="_Toc564"/>
      <w:bookmarkStart w:id="3382" w:name="_Toc4851"/>
      <w:bookmarkStart w:id="3383" w:name="_Toc32254"/>
      <w:bookmarkStart w:id="3384" w:name="_Toc24130"/>
      <w:bookmarkStart w:id="3385" w:name="_Toc26908"/>
      <w:bookmarkStart w:id="3386" w:name="_Toc12171"/>
      <w:bookmarkStart w:id="3387" w:name="_Toc19686"/>
      <w:bookmarkStart w:id="3388" w:name="_Toc7541"/>
      <w:bookmarkStart w:id="3389" w:name="_Toc14759"/>
      <w:bookmarkStart w:id="3390" w:name="_Toc26494"/>
      <w:bookmarkStart w:id="3391" w:name="_Toc12615"/>
      <w:bookmarkStart w:id="3392" w:name="_Toc27046"/>
      <w:bookmarkStart w:id="3393" w:name="_Toc19231"/>
      <w:bookmarkStart w:id="3394" w:name="_Toc11750"/>
      <w:bookmarkStart w:id="3395" w:name="_Toc14818"/>
      <w:bookmarkStart w:id="3396" w:name="_Toc24850"/>
      <w:bookmarkStart w:id="3397" w:name="_Toc20978"/>
      <w:bookmarkStart w:id="3398" w:name="_Toc1242"/>
      <w:bookmarkStart w:id="3399" w:name="_Toc18577"/>
      <w:bookmarkStart w:id="3400" w:name="_Toc3678"/>
      <w:bookmarkStart w:id="3401" w:name="_Toc13919"/>
      <w:bookmarkStart w:id="3402" w:name="_Toc6855"/>
      <w:bookmarkStart w:id="3403" w:name="_Toc845"/>
      <w:bookmarkStart w:id="3404" w:name="_Toc26260"/>
      <w:bookmarkStart w:id="3405" w:name="_Toc8789"/>
      <w:bookmarkStart w:id="3406" w:name="_Toc17613"/>
      <w:bookmarkStart w:id="3407" w:name="_Toc3393"/>
      <w:bookmarkStart w:id="3408" w:name="_Toc25315"/>
      <w:bookmarkStart w:id="3409" w:name="_Toc25630"/>
      <w:bookmarkStart w:id="3410" w:name="_Toc25557"/>
      <w:bookmarkStart w:id="3411" w:name="_Toc16775"/>
      <w:bookmarkStart w:id="3412" w:name="_Toc26175"/>
      <w:bookmarkStart w:id="3413" w:name="_Toc22268"/>
      <w:bookmarkStart w:id="3414" w:name="_Toc22517"/>
      <w:bookmarkStart w:id="3415" w:name="_Toc28341"/>
      <w:bookmarkStart w:id="3416" w:name="_Toc3436"/>
      <w:bookmarkStart w:id="3417" w:name="_Toc24283"/>
      <w:bookmarkStart w:id="3418" w:name="_Toc16771"/>
      <w:bookmarkStart w:id="3419" w:name="_Toc14766"/>
      <w:bookmarkStart w:id="3420" w:name="_Toc14392"/>
      <w:bookmarkStart w:id="3421" w:name="_Toc25158"/>
      <w:bookmarkStart w:id="3422" w:name="_Toc13483"/>
      <w:bookmarkStart w:id="3423" w:name="_Toc27995"/>
      <w:bookmarkStart w:id="3424" w:name="_Toc11675"/>
      <w:bookmarkStart w:id="3425" w:name="_Toc16547"/>
      <w:bookmarkStart w:id="3426" w:name="_Toc29982"/>
      <w:bookmarkStart w:id="3427" w:name="_Toc13717"/>
      <w:bookmarkStart w:id="3428" w:name="_Toc32191"/>
      <w:bookmarkStart w:id="3429" w:name="_Toc10407"/>
      <w:bookmarkStart w:id="3430" w:name="_Toc24205"/>
      <w:bookmarkStart w:id="3431" w:name="_Toc3544"/>
      <w:bookmarkStart w:id="3432" w:name="_Toc16100"/>
      <w:bookmarkStart w:id="3433" w:name="_Toc3997"/>
      <w:bookmarkStart w:id="3434" w:name="_Toc10997"/>
      <w:bookmarkStart w:id="3435" w:name="_Toc20277"/>
      <w:bookmarkStart w:id="3436" w:name="_Toc7366"/>
      <w:bookmarkStart w:id="3437" w:name="_Toc18981"/>
      <w:bookmarkStart w:id="3438" w:name="_Toc2274"/>
      <w:bookmarkStart w:id="3439" w:name="_Toc23484"/>
      <w:bookmarkStart w:id="3440" w:name="_Toc11442"/>
      <w:bookmarkStart w:id="3441" w:name="_Toc16611"/>
      <w:bookmarkStart w:id="3442" w:name="_Toc21438"/>
      <w:bookmarkStart w:id="3443" w:name="_Toc20613"/>
      <w:bookmarkStart w:id="3444" w:name="_Toc30964"/>
      <w:bookmarkStart w:id="3445" w:name="_Toc3197"/>
      <w:bookmarkStart w:id="3446" w:name="_Toc8741"/>
      <w:bookmarkStart w:id="3447" w:name="_Toc30775"/>
      <w:r>
        <w:rPr>
          <w:rFonts w:hint="eastAsia" w:ascii="楷体" w:hAnsi="楷体" w:eastAsia="楷体" w:cs="楷体"/>
          <w:b/>
          <w:bCs/>
          <w:sz w:val="32"/>
          <w:szCs w:val="32"/>
        </w:rPr>
        <w:t>第三节 构建彰显城市特色的文化品牌体系</w:t>
      </w:r>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p>
    <w:p>
      <w:pPr>
        <w:overflowPunct w:val="0"/>
        <w:autoSpaceDE w:val="0"/>
        <w:adjustRightInd w:val="0"/>
        <w:snapToGrid w:val="0"/>
        <w:spacing w:line="600" w:lineRule="exact"/>
        <w:ind w:firstLine="643" w:firstLineChars="200"/>
        <w:rPr>
          <w:sz w:val="32"/>
          <w:szCs w:val="32"/>
        </w:rPr>
      </w:pPr>
      <w:r>
        <w:rPr>
          <w:rFonts w:hint="eastAsia" w:ascii="仿宋_GB2312" w:hAnsi="仿宋_GB2312" w:eastAsia="仿宋_GB2312" w:cs="仿宋_GB2312"/>
          <w:b/>
          <w:bCs/>
          <w:sz w:val="32"/>
          <w:szCs w:val="32"/>
        </w:rPr>
        <w:t>打造国际知名文化活动品牌。</w:t>
      </w:r>
      <w:r>
        <w:rPr>
          <w:rFonts w:hint="eastAsia" w:ascii="仿宋_GB2312" w:hAnsi="仿宋_GB2312" w:eastAsia="仿宋_GB2312" w:cs="仿宋_GB2312"/>
          <w:sz w:val="32"/>
          <w:szCs w:val="32"/>
        </w:rPr>
        <w:t>丰富推广“城市文化菜单”，策划举办一批国家级、国际化的展会、节庆、论坛等文化活动。繁荣发展文艺精品创作，实施新时代文艺发展工程，打造湾区演艺之都，推出一批具有中国气派、深圳特色的原创精品力作。支持发展民间文艺团体，培育一批民办公共文化活动品牌。鼓励在车站、公园等公共空间进行街头艺术表演，创造更多“城市中的剧场”。</w:t>
      </w:r>
    </w:p>
    <w:p>
      <w:pPr>
        <w:overflowPunct w:val="0"/>
        <w:autoSpaceDE w:val="0"/>
        <w:adjustRightInd w:val="0"/>
        <w:snapToGrid w:val="0"/>
        <w:spacing w:after="156" w:afterLines="50"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加强文化遗产保护和利用。</w:t>
      </w:r>
      <w:r>
        <w:rPr>
          <w:rFonts w:hint="eastAsia" w:ascii="仿宋_GB2312" w:hAnsi="仿宋_GB2312" w:eastAsia="仿宋_GB2312" w:cs="仿宋_GB2312"/>
          <w:sz w:val="32"/>
          <w:szCs w:val="32"/>
        </w:rPr>
        <w:t>推进重点文物保护工程建设，加强大鹏所城、南头古城、中英街界碑等重点文物保护利用。</w:t>
      </w:r>
      <w:r>
        <w:rPr>
          <w:rFonts w:hint="eastAsia" w:ascii="仿宋_GB2312" w:hAnsi="仿宋_GB2312" w:eastAsia="仿宋_GB2312" w:cs="仿宋_GB2312"/>
          <w:color w:val="000000" w:themeColor="text1"/>
          <w:kern w:val="0"/>
          <w:sz w:val="32"/>
          <w:szCs w:val="32"/>
          <w14:textFill>
            <w14:solidFill>
              <w14:schemeClr w14:val="tx1"/>
            </w14:solidFill>
          </w14:textFill>
        </w:rPr>
        <w:t>打造一批充分体现特区精神的改革开放纪念地，</w:t>
      </w:r>
      <w:r>
        <w:rPr>
          <w:rFonts w:hint="eastAsia" w:ascii="仿宋_GB2312" w:hAnsi="仿宋_GB2312" w:eastAsia="仿宋_GB2312" w:cs="仿宋_GB2312"/>
          <w:sz w:val="32"/>
          <w:szCs w:val="32"/>
        </w:rPr>
        <w:t>建立改革开放文物保护利用示范区</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sz w:val="32"/>
          <w:szCs w:val="32"/>
        </w:rPr>
        <w:t>推进重大跨界文化遗产保护，开展客家围屋、明清海防遗址等联合保护。</w:t>
      </w:r>
    </w:p>
    <w:tbl>
      <w:tblPr>
        <w:tblStyle w:val="28"/>
        <w:tblW w:w="8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8018" w:type="dxa"/>
            <w:vAlign w:val="center"/>
          </w:tcPr>
          <w:p>
            <w:pPr>
              <w:pStyle w:val="43"/>
              <w:numPr>
                <w:ilvl w:val="255"/>
                <w:numId w:val="0"/>
              </w:numPr>
              <w:overflowPunct w:val="0"/>
              <w:adjustRightInd w:val="0"/>
              <w:snapToGrid w:val="0"/>
              <w:spacing w:line="400" w:lineRule="exact"/>
              <w:jc w:val="center"/>
              <w:rPr>
                <w:rFonts w:ascii="宋体" w:hAnsi="宋体" w:cs="宋体"/>
                <w:b/>
                <w:color w:val="000000"/>
                <w:sz w:val="24"/>
                <w:lang w:val="zh-CN"/>
              </w:rPr>
            </w:pPr>
            <w:r>
              <w:rPr>
                <w:rFonts w:hint="eastAsia" w:ascii="宋体" w:hAnsi="宋体" w:cs="宋体"/>
                <w:b/>
                <w:color w:val="000000"/>
                <w:sz w:val="24"/>
                <w:lang w:val="zh-CN"/>
              </w:rPr>
              <w:t>专栏</w:t>
            </w:r>
            <w:r>
              <w:rPr>
                <w:rFonts w:ascii="宋体" w:hAnsi="宋体" w:cs="宋体"/>
                <w:b/>
                <w:color w:val="000000"/>
                <w:sz w:val="24"/>
                <w:lang w:val="zh-CN"/>
              </w:rPr>
              <w:t>10：文化事业重大工程</w:t>
            </w:r>
          </w:p>
          <w:p>
            <w:pPr>
              <w:pStyle w:val="43"/>
              <w:numPr>
                <w:ilvl w:val="0"/>
                <w:numId w:val="7"/>
              </w:numPr>
              <w:overflowPunct w:val="0"/>
              <w:adjustRightInd w:val="0"/>
              <w:snapToGrid w:val="0"/>
              <w:spacing w:line="400" w:lineRule="exact"/>
              <w:ind w:left="482" w:hanging="482" w:hangingChars="200"/>
              <w:rPr>
                <w:rFonts w:ascii="宋体" w:hAnsi="宋体" w:cs="宋体"/>
                <w:color w:val="000000"/>
                <w:sz w:val="24"/>
              </w:rPr>
            </w:pPr>
            <w:r>
              <w:rPr>
                <w:rFonts w:hint="eastAsia" w:ascii="宋体" w:hAnsi="宋体" w:cs="宋体"/>
                <w:b/>
                <w:color w:val="000000"/>
                <w:sz w:val="24"/>
              </w:rPr>
              <w:t>新时代十大文化设施：</w:t>
            </w:r>
            <w:r>
              <w:rPr>
                <w:rFonts w:hint="eastAsia" w:ascii="宋体" w:hAnsi="宋体" w:cs="宋体"/>
                <w:bCs/>
                <w:color w:val="000000"/>
                <w:sz w:val="24"/>
              </w:rPr>
              <w:t>深圳歌剧院、深圳改革开放展览馆、深圳创意设计馆、国深博物馆、深圳科学技术馆、深圳海洋博物馆、深圳自然博物馆、深圳美术馆新馆、深圳创新创意设计学院、深圳音乐学院。</w:t>
            </w:r>
          </w:p>
          <w:p>
            <w:pPr>
              <w:pStyle w:val="43"/>
              <w:numPr>
                <w:ilvl w:val="0"/>
                <w:numId w:val="7"/>
              </w:numPr>
              <w:overflowPunct w:val="0"/>
              <w:adjustRightInd w:val="0"/>
              <w:snapToGrid w:val="0"/>
              <w:spacing w:line="400" w:lineRule="exact"/>
              <w:ind w:left="482" w:hanging="482" w:hangingChars="200"/>
              <w:rPr>
                <w:rFonts w:ascii="宋体" w:hAnsi="宋体" w:cs="宋体"/>
                <w:bCs/>
                <w:color w:val="000000"/>
                <w:sz w:val="24"/>
              </w:rPr>
            </w:pPr>
            <w:r>
              <w:rPr>
                <w:rFonts w:hint="eastAsia" w:ascii="宋体" w:hAnsi="宋体" w:cs="宋体"/>
                <w:b/>
                <w:bCs/>
                <w:color w:val="000000"/>
                <w:sz w:val="24"/>
              </w:rPr>
              <w:t>十大特色文化街区：</w:t>
            </w:r>
            <w:r>
              <w:rPr>
                <w:rFonts w:hint="eastAsia" w:ascii="宋体" w:hAnsi="宋体" w:cs="宋体"/>
                <w:bCs/>
                <w:color w:val="000000"/>
                <w:sz w:val="24"/>
              </w:rPr>
              <w:t>南头古城、</w:t>
            </w:r>
            <w:r>
              <w:rPr>
                <w:rFonts w:hint="eastAsia" w:ascii="宋体" w:hAnsi="宋体" w:cs="宋体"/>
                <w:sz w:val="24"/>
              </w:rPr>
              <w:t>大鹏所城、</w:t>
            </w:r>
            <w:r>
              <w:rPr>
                <w:rFonts w:hint="eastAsia" w:ascii="宋体" w:hAnsi="宋体" w:cs="宋体"/>
                <w:color w:val="000000"/>
                <w:sz w:val="24"/>
              </w:rPr>
              <w:t>大芬油画村、观澜版画基地、甘坑客家小镇、大浪时尚创意小镇、大万世居、</w:t>
            </w:r>
            <w:r>
              <w:rPr>
                <w:rFonts w:hint="eastAsia" w:ascii="宋体" w:hAnsi="宋体" w:cs="宋体"/>
                <w:bCs/>
                <w:color w:val="000000"/>
                <w:sz w:val="24"/>
              </w:rPr>
              <w:t>蛇口海上世界、华侨城创意文化街区、华强北科技时尚街区。</w:t>
            </w:r>
          </w:p>
          <w:p>
            <w:pPr>
              <w:pStyle w:val="43"/>
              <w:numPr>
                <w:ilvl w:val="0"/>
                <w:numId w:val="7"/>
              </w:numPr>
              <w:overflowPunct w:val="0"/>
              <w:adjustRightInd w:val="0"/>
              <w:snapToGrid w:val="0"/>
              <w:spacing w:line="400" w:lineRule="exact"/>
              <w:ind w:left="482" w:hanging="482" w:hangingChars="200"/>
              <w:rPr>
                <w:rFonts w:ascii="宋体" w:hAnsi="宋体" w:cs="宋体"/>
                <w:bCs/>
                <w:color w:val="000000"/>
                <w:sz w:val="24"/>
              </w:rPr>
            </w:pPr>
            <w:r>
              <w:rPr>
                <w:rFonts w:hint="eastAsia" w:ascii="宋体" w:hAnsi="宋体" w:cs="宋体"/>
                <w:b/>
                <w:color w:val="000000"/>
                <w:sz w:val="24"/>
              </w:rPr>
              <w:t>市级重大文体设施：</w:t>
            </w:r>
            <w:r>
              <w:rPr>
                <w:rFonts w:hint="eastAsia" w:ascii="宋体" w:hAnsi="宋体" w:cs="宋体"/>
                <w:bCs/>
                <w:color w:val="000000"/>
                <w:sz w:val="24"/>
              </w:rPr>
              <w:t>深圳市文化馆新馆、龙岗国际艺术中心、国深美术馆（暂名）、深圳市青少年足球训练基地、深圳市体育中心改造提升工程、深圳市体育运动学校（深圳市体育实验学校）改造提升工程等。</w:t>
            </w:r>
          </w:p>
          <w:p>
            <w:pPr>
              <w:pStyle w:val="43"/>
              <w:numPr>
                <w:ilvl w:val="0"/>
                <w:numId w:val="7"/>
              </w:numPr>
              <w:overflowPunct w:val="0"/>
              <w:adjustRightInd w:val="0"/>
              <w:snapToGrid w:val="0"/>
              <w:spacing w:line="400" w:lineRule="exact"/>
              <w:ind w:left="482" w:hanging="482" w:hangingChars="200"/>
              <w:rPr>
                <w:rFonts w:ascii="宋体" w:hAnsi="宋体" w:cs="宋体"/>
                <w:bCs/>
                <w:color w:val="000000"/>
                <w:sz w:val="24"/>
              </w:rPr>
            </w:pPr>
            <w:r>
              <w:rPr>
                <w:rFonts w:hint="eastAsia" w:ascii="宋体" w:hAnsi="宋体" w:cs="宋体"/>
                <w:b/>
                <w:bCs/>
                <w:color w:val="000000"/>
                <w:sz w:val="24"/>
              </w:rPr>
              <w:t>城市文化菜单：</w:t>
            </w:r>
            <w:r>
              <w:rPr>
                <w:rFonts w:hint="eastAsia" w:ascii="宋体" w:hAnsi="宋体" w:cs="宋体"/>
                <w:color w:val="000000"/>
                <w:sz w:val="24"/>
              </w:rPr>
              <w:t>中国（深圳）国际文化产业博览交易会、深圳读书月、“一带一路”国际音乐季、中国设计大展、深圳（国际）科技影视周、深圳国际摄影大展、深圳时装周、设计之都（中国·深圳）公益广告大赛、中国国际新媒体短片节、中国国际钢琴协奏曲比赛等。</w:t>
            </w:r>
          </w:p>
          <w:p>
            <w:pPr>
              <w:pStyle w:val="43"/>
              <w:numPr>
                <w:ilvl w:val="0"/>
                <w:numId w:val="7"/>
              </w:numPr>
              <w:overflowPunct w:val="0"/>
              <w:adjustRightInd w:val="0"/>
              <w:snapToGrid w:val="0"/>
              <w:spacing w:line="400" w:lineRule="exact"/>
              <w:ind w:left="482" w:hanging="482" w:hangingChars="200"/>
              <w:jc w:val="left"/>
              <w:rPr>
                <w:rFonts w:ascii="宋体" w:hAnsi="宋体" w:cs="宋体"/>
                <w:bCs/>
                <w:color w:val="000000"/>
                <w:sz w:val="24"/>
              </w:rPr>
            </w:pPr>
            <w:r>
              <w:rPr>
                <w:rFonts w:hint="eastAsia" w:ascii="宋体" w:hAnsi="宋体" w:cs="宋体"/>
                <w:b/>
                <w:bCs/>
                <w:color w:val="000000"/>
                <w:sz w:val="24"/>
              </w:rPr>
              <w:t>新时代文艺发展工程：</w:t>
            </w:r>
            <w:r>
              <w:rPr>
                <w:rFonts w:hint="eastAsia" w:ascii="宋体" w:hAnsi="宋体" w:cs="宋体"/>
                <w:color w:val="000000"/>
                <w:sz w:val="24"/>
              </w:rPr>
              <w:t>创作遴选新时代深圳十大文艺精品，新增百个剧场、音乐厅、美术馆、文化馆等重点文体设施，培育引进千名文艺专才，每年推出万场重点文艺演出。</w:t>
            </w:r>
          </w:p>
        </w:tc>
      </w:tr>
    </w:tbl>
    <w:p>
      <w:pPr>
        <w:overflowPunct w:val="0"/>
        <w:autoSpaceDE w:val="0"/>
        <w:adjustRightInd w:val="0"/>
        <w:snapToGrid w:val="0"/>
        <w:spacing w:after="156" w:afterLines="50" w:line="600" w:lineRule="exact"/>
        <w:ind w:firstLine="640" w:firstLineChars="200"/>
        <w:rPr>
          <w:rFonts w:ascii="仿宋_GB2312" w:hAnsi="仿宋_GB2312" w:eastAsia="仿宋_GB2312" w:cs="仿宋_GB2312"/>
          <w:sz w:val="32"/>
          <w:szCs w:val="32"/>
        </w:rPr>
      </w:pPr>
    </w:p>
    <w:p>
      <w:pPr>
        <w:overflowPunct w:val="0"/>
        <w:autoSpaceDE w:val="0"/>
        <w:adjustRightInd w:val="0"/>
        <w:snapToGrid w:val="0"/>
        <w:spacing w:line="600" w:lineRule="exact"/>
        <w:ind w:firstLine="640" w:firstLineChars="200"/>
        <w:rPr>
          <w:rFonts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p>
      <w:pPr>
        <w:spacing w:line="600" w:lineRule="exact"/>
        <w:jc w:val="center"/>
        <w:outlineLvl w:val="1"/>
        <w:rPr>
          <w:rFonts w:ascii="黑体" w:hAnsi="黑体" w:eastAsia="黑体" w:cs="黑体"/>
          <w:sz w:val="36"/>
          <w:szCs w:val="36"/>
        </w:rPr>
      </w:pPr>
      <w:bookmarkStart w:id="3448" w:name="_Toc15241"/>
      <w:bookmarkStart w:id="3449" w:name="_Toc7319"/>
      <w:bookmarkStart w:id="3450" w:name="_Toc14260"/>
      <w:bookmarkStart w:id="3451" w:name="_Toc362"/>
      <w:bookmarkStart w:id="3452" w:name="_Toc28502"/>
      <w:bookmarkStart w:id="3453" w:name="_Toc24374"/>
      <w:bookmarkStart w:id="3454" w:name="_Toc6045"/>
      <w:bookmarkStart w:id="3455" w:name="_Toc32042"/>
      <w:bookmarkStart w:id="3456" w:name="_Toc10005"/>
      <w:bookmarkStart w:id="3457" w:name="_Toc17845"/>
      <w:bookmarkStart w:id="3458" w:name="_Toc29208"/>
      <w:bookmarkStart w:id="3459" w:name="_Toc10254"/>
      <w:bookmarkStart w:id="3460" w:name="_Toc5323"/>
      <w:bookmarkStart w:id="3461" w:name="_Toc26131"/>
      <w:bookmarkStart w:id="3462" w:name="_Toc13612"/>
      <w:bookmarkStart w:id="3463" w:name="_Toc28728"/>
      <w:bookmarkStart w:id="3464" w:name="_Toc14517"/>
      <w:bookmarkStart w:id="3465" w:name="_Toc15293"/>
      <w:bookmarkStart w:id="3466" w:name="_Toc9566"/>
      <w:bookmarkStart w:id="3467" w:name="_Toc29336"/>
      <w:bookmarkStart w:id="3468" w:name="_Toc15661"/>
      <w:bookmarkStart w:id="3469" w:name="_Toc3526"/>
      <w:bookmarkStart w:id="3470" w:name="_Toc25748"/>
      <w:bookmarkStart w:id="3471" w:name="_Toc25090"/>
      <w:bookmarkStart w:id="3472" w:name="_Toc29817"/>
      <w:bookmarkStart w:id="3473" w:name="_Toc30311"/>
      <w:bookmarkStart w:id="3474" w:name="_Toc22388"/>
      <w:bookmarkStart w:id="3475" w:name="_Toc14908"/>
      <w:bookmarkStart w:id="3476" w:name="_Toc10134"/>
      <w:bookmarkStart w:id="3477" w:name="_Toc24888"/>
      <w:bookmarkStart w:id="3478" w:name="_Toc14026"/>
      <w:bookmarkStart w:id="3479" w:name="_Toc25083"/>
      <w:bookmarkStart w:id="3480" w:name="_Toc24626"/>
      <w:bookmarkStart w:id="3481" w:name="_Toc14863"/>
      <w:bookmarkStart w:id="3482" w:name="_Toc15875"/>
      <w:bookmarkStart w:id="3483" w:name="_Toc18251"/>
      <w:bookmarkStart w:id="3484" w:name="_Toc22177"/>
      <w:bookmarkStart w:id="3485" w:name="_Toc9892"/>
      <w:bookmarkStart w:id="3486" w:name="_Toc16229"/>
      <w:bookmarkStart w:id="3487" w:name="_Toc17242"/>
      <w:bookmarkStart w:id="3488" w:name="_Toc1"/>
      <w:bookmarkStart w:id="3489" w:name="_Toc16325"/>
      <w:bookmarkStart w:id="3490" w:name="_Toc13738"/>
      <w:bookmarkStart w:id="3491" w:name="_Toc27159"/>
      <w:bookmarkStart w:id="3492" w:name="_Toc18495"/>
      <w:bookmarkStart w:id="3493" w:name="_Toc24648"/>
      <w:bookmarkStart w:id="3494" w:name="_Toc27465"/>
      <w:bookmarkStart w:id="3495" w:name="_Toc21219"/>
      <w:bookmarkStart w:id="3496" w:name="_Toc14479"/>
      <w:bookmarkStart w:id="3497" w:name="_Toc13755"/>
      <w:bookmarkStart w:id="3498" w:name="_Toc27889"/>
      <w:bookmarkStart w:id="3499" w:name="_Toc28073"/>
      <w:bookmarkStart w:id="3500" w:name="_Toc16381"/>
      <w:bookmarkStart w:id="3501" w:name="_Toc1430"/>
      <w:bookmarkStart w:id="3502" w:name="_Toc32303"/>
      <w:bookmarkStart w:id="3503" w:name="_Toc29064"/>
      <w:bookmarkStart w:id="3504" w:name="_Toc18575"/>
      <w:bookmarkStart w:id="3505" w:name="_Toc32295"/>
      <w:bookmarkStart w:id="3506" w:name="_Toc14658"/>
      <w:bookmarkStart w:id="3507" w:name="_Toc7614"/>
      <w:bookmarkStart w:id="3508" w:name="_Toc23741"/>
      <w:bookmarkStart w:id="3509" w:name="_Toc26088"/>
      <w:bookmarkStart w:id="3510" w:name="_Toc23517"/>
      <w:bookmarkStart w:id="3511" w:name="_Toc7707"/>
      <w:bookmarkStart w:id="3512" w:name="_Toc26886"/>
      <w:bookmarkStart w:id="3513" w:name="_Toc21253"/>
      <w:bookmarkStart w:id="3514" w:name="_Toc13722"/>
      <w:bookmarkStart w:id="3515" w:name="_Toc31012"/>
      <w:bookmarkStart w:id="3516" w:name="_Toc11184"/>
      <w:bookmarkStart w:id="3517" w:name="_Toc20663"/>
      <w:bookmarkStart w:id="3518" w:name="_Toc21623"/>
      <w:bookmarkStart w:id="3519" w:name="_Toc16523"/>
      <w:bookmarkStart w:id="3520" w:name="_Toc32135"/>
      <w:bookmarkStart w:id="3521" w:name="_Toc10382"/>
      <w:r>
        <w:rPr>
          <w:rFonts w:hint="eastAsia" w:ascii="黑体" w:hAnsi="黑体" w:eastAsia="黑体" w:cs="黑体"/>
          <w:sz w:val="36"/>
          <w:szCs w:val="36"/>
        </w:rPr>
        <w:t>第十一章 建设区域文化中心城市</w:t>
      </w:r>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p>
    <w:p>
      <w:pPr>
        <w:pStyle w:val="14"/>
        <w:spacing w:line="600" w:lineRule="exact"/>
      </w:pPr>
    </w:p>
    <w:p>
      <w:pPr>
        <w:overflowPunct w:val="0"/>
        <w:spacing w:line="600" w:lineRule="exact"/>
        <w:ind w:firstLine="640" w:firstLineChars="200"/>
        <w:rPr>
          <w:rFonts w:ascii="仿宋_GB2312" w:eastAsia="仿宋_GB2312"/>
          <w:b/>
          <w:bCs/>
          <w:sz w:val="32"/>
          <w:szCs w:val="32"/>
        </w:rPr>
      </w:pPr>
      <w:r>
        <w:rPr>
          <w:rStyle w:val="37"/>
          <w:rFonts w:hint="eastAsia" w:ascii="仿宋_GB2312" w:eastAsia="仿宋_GB2312"/>
          <w:sz w:val="32"/>
          <w:szCs w:val="32"/>
        </w:rPr>
        <w:t>健全现代文化产业体系和市场体系，培育新型文化企业、文化业态和文化消费模式</w:t>
      </w:r>
      <w:r>
        <w:rPr>
          <w:rFonts w:hint="eastAsia" w:ascii="仿宋_GB2312" w:hAnsi="仿宋_GB2312" w:eastAsia="仿宋_GB2312" w:cs="仿宋_GB2312"/>
          <w:sz w:val="32"/>
          <w:szCs w:val="32"/>
        </w:rPr>
        <w:t>，推动文化产业高质量发展，</w:t>
      </w:r>
      <w:r>
        <w:rPr>
          <w:rFonts w:hint="eastAsia" w:ascii="仿宋_GB2312" w:hAnsi="Arial" w:eastAsia="仿宋_GB2312" w:cs="Arial"/>
          <w:color w:val="1C1C1C"/>
          <w:sz w:val="32"/>
          <w:szCs w:val="32"/>
        </w:rPr>
        <w:t>创新推进国际传播能力建设，加强对外文化交流和多层次文明对话</w:t>
      </w:r>
      <w:r>
        <w:rPr>
          <w:rFonts w:hint="eastAsia" w:ascii="仿宋_GB2312" w:hAnsi="仿宋_GB2312" w:eastAsia="仿宋_GB2312" w:cs="仿宋_GB2312"/>
          <w:sz w:val="32"/>
          <w:szCs w:val="32"/>
        </w:rPr>
        <w:t>，</w:t>
      </w:r>
      <w:r>
        <w:rPr>
          <w:rFonts w:hint="eastAsia" w:ascii="仿宋_GB2312" w:eastAsia="仿宋_GB2312"/>
          <w:bCs/>
          <w:sz w:val="32"/>
          <w:szCs w:val="32"/>
        </w:rPr>
        <w:t>建设独具魅力的人文都市。</w:t>
      </w:r>
    </w:p>
    <w:p>
      <w:pPr>
        <w:pStyle w:val="14"/>
        <w:spacing w:line="600" w:lineRule="exact"/>
      </w:pPr>
    </w:p>
    <w:p>
      <w:pPr>
        <w:spacing w:line="600" w:lineRule="exact"/>
        <w:jc w:val="center"/>
        <w:outlineLvl w:val="2"/>
        <w:rPr>
          <w:rFonts w:ascii="楷体" w:hAnsi="楷体" w:eastAsia="楷体" w:cs="楷体"/>
          <w:b/>
          <w:bCs/>
          <w:sz w:val="32"/>
          <w:szCs w:val="32"/>
        </w:rPr>
      </w:pPr>
      <w:bookmarkStart w:id="3522" w:name="_Toc820"/>
      <w:bookmarkStart w:id="3523" w:name="_Toc25085"/>
      <w:bookmarkStart w:id="3524" w:name="_Toc16765"/>
      <w:bookmarkStart w:id="3525" w:name="_Toc20718"/>
      <w:bookmarkStart w:id="3526" w:name="_Toc9553"/>
      <w:bookmarkStart w:id="3527" w:name="_Toc12264"/>
      <w:bookmarkStart w:id="3528" w:name="_Toc9730"/>
      <w:bookmarkStart w:id="3529" w:name="_Toc2068"/>
      <w:bookmarkStart w:id="3530" w:name="_Toc18505"/>
      <w:bookmarkStart w:id="3531" w:name="_Toc32699"/>
      <w:bookmarkStart w:id="3532" w:name="_Toc6759"/>
      <w:bookmarkStart w:id="3533" w:name="_Toc1556"/>
      <w:bookmarkStart w:id="3534" w:name="_Toc18983"/>
      <w:bookmarkStart w:id="3535" w:name="_Toc8004"/>
      <w:bookmarkStart w:id="3536" w:name="_Toc31639"/>
      <w:bookmarkStart w:id="3537" w:name="_Toc8861"/>
      <w:bookmarkStart w:id="3538" w:name="_Toc1361"/>
      <w:bookmarkStart w:id="3539" w:name="_Toc31100"/>
      <w:bookmarkStart w:id="3540" w:name="_Toc7430"/>
      <w:bookmarkStart w:id="3541" w:name="_Toc7277"/>
      <w:bookmarkStart w:id="3542" w:name="_Toc6564"/>
      <w:bookmarkStart w:id="3543" w:name="_Toc7473"/>
      <w:bookmarkStart w:id="3544" w:name="_Toc21088"/>
      <w:bookmarkStart w:id="3545" w:name="_Toc28138"/>
      <w:bookmarkStart w:id="3546" w:name="_Toc26504"/>
      <w:bookmarkStart w:id="3547" w:name="_Toc21411"/>
      <w:bookmarkStart w:id="3548" w:name="_Toc20310"/>
      <w:bookmarkStart w:id="3549" w:name="_Toc22678"/>
      <w:bookmarkStart w:id="3550" w:name="_Toc21742"/>
      <w:bookmarkStart w:id="3551" w:name="_Toc14413"/>
      <w:bookmarkStart w:id="3552" w:name="_Toc6551"/>
      <w:bookmarkStart w:id="3553" w:name="_Toc6618"/>
      <w:bookmarkStart w:id="3554" w:name="_Toc22263"/>
      <w:bookmarkStart w:id="3555" w:name="_Toc8282"/>
      <w:bookmarkStart w:id="3556" w:name="_Toc7511"/>
      <w:bookmarkStart w:id="3557" w:name="_Toc14778"/>
      <w:bookmarkStart w:id="3558" w:name="_Toc31071"/>
      <w:bookmarkStart w:id="3559" w:name="_Toc32670"/>
      <w:bookmarkStart w:id="3560" w:name="_Toc23631"/>
      <w:bookmarkStart w:id="3561" w:name="_Toc2232"/>
      <w:bookmarkStart w:id="3562" w:name="_Toc1331"/>
      <w:bookmarkStart w:id="3563" w:name="_Toc2270"/>
      <w:bookmarkStart w:id="3564" w:name="_Toc20351"/>
      <w:bookmarkStart w:id="3565" w:name="_Toc22329"/>
      <w:bookmarkStart w:id="3566" w:name="_Toc14316"/>
      <w:bookmarkStart w:id="3567" w:name="_Toc10050"/>
      <w:bookmarkStart w:id="3568" w:name="_Toc26633"/>
      <w:bookmarkStart w:id="3569" w:name="_Toc26587"/>
      <w:bookmarkStart w:id="3570" w:name="_Toc13464"/>
      <w:bookmarkStart w:id="3571" w:name="_Toc30730"/>
      <w:bookmarkStart w:id="3572" w:name="_Toc7940"/>
      <w:bookmarkStart w:id="3573" w:name="_Toc18497"/>
      <w:bookmarkStart w:id="3574" w:name="_Toc25374"/>
      <w:bookmarkStart w:id="3575" w:name="_Toc21897"/>
      <w:bookmarkStart w:id="3576" w:name="_Toc31152"/>
      <w:bookmarkStart w:id="3577" w:name="_Toc1775"/>
      <w:bookmarkStart w:id="3578" w:name="_Toc7503"/>
      <w:bookmarkStart w:id="3579" w:name="_Toc20570"/>
      <w:bookmarkStart w:id="3580" w:name="_Toc13034"/>
      <w:bookmarkStart w:id="3581" w:name="_Toc3505"/>
      <w:bookmarkStart w:id="3582" w:name="_Toc30612"/>
      <w:bookmarkStart w:id="3583" w:name="_Toc22784"/>
      <w:bookmarkStart w:id="3584" w:name="_Toc30137"/>
      <w:bookmarkStart w:id="3585" w:name="_Toc30697"/>
      <w:bookmarkStart w:id="3586" w:name="_Toc2877"/>
      <w:bookmarkStart w:id="3587" w:name="_Toc6354"/>
      <w:bookmarkStart w:id="3588" w:name="_Toc25743"/>
      <w:bookmarkStart w:id="3589" w:name="_Toc16702"/>
      <w:bookmarkStart w:id="3590" w:name="_Toc29533"/>
      <w:bookmarkStart w:id="3591" w:name="_Toc13807"/>
      <w:bookmarkStart w:id="3592" w:name="_Toc23636"/>
      <w:bookmarkStart w:id="3593" w:name="_Toc24640"/>
      <w:bookmarkStart w:id="3594" w:name="_Toc26844"/>
      <w:bookmarkStart w:id="3595" w:name="_Toc14518"/>
      <w:r>
        <w:rPr>
          <w:rFonts w:hint="eastAsia" w:ascii="楷体" w:hAnsi="楷体" w:eastAsia="楷体" w:cs="楷体"/>
          <w:b/>
          <w:bCs/>
          <w:sz w:val="32"/>
          <w:szCs w:val="32"/>
        </w:rPr>
        <w:t>第一节 提升文化产业竞争力</w:t>
      </w:r>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p>
    <w:p>
      <w:pPr>
        <w:overflowPunct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加快发展创意经济。</w:t>
      </w:r>
      <w:r>
        <w:rPr>
          <w:rFonts w:hint="eastAsia" w:ascii="仿宋_GB2312" w:hAnsi="仿宋_GB2312" w:eastAsia="仿宋_GB2312" w:cs="仿宋_GB2312"/>
          <w:sz w:val="32"/>
          <w:szCs w:val="32"/>
        </w:rPr>
        <w:t>推动文化创意与旅游、金融、科技、建筑等融合发展，</w:t>
      </w:r>
      <w:r>
        <w:rPr>
          <w:rFonts w:hint="eastAsia" w:ascii="仿宋_GB2312" w:hAnsi="仿宋" w:eastAsia="仿宋_GB2312"/>
          <w:kern w:val="0"/>
          <w:sz w:val="32"/>
          <w:szCs w:val="32"/>
        </w:rPr>
        <w:t>增强文化产业园区聚集功能</w:t>
      </w:r>
      <w:r>
        <w:rPr>
          <w:rFonts w:hint="eastAsia" w:ascii="仿宋_GB2312" w:hAnsi="仿宋_GB2312" w:eastAsia="仿宋_GB2312" w:cs="仿宋_GB2312"/>
          <w:sz w:val="32"/>
          <w:szCs w:val="32"/>
        </w:rPr>
        <w:t>，创建国家文化产业示范园区，打造全球知名文化创意高地。充分利用老旧厂房等拓展文化空间，打造更多网红打卡地。加强国家级文化产业平台建设，</w:t>
      </w:r>
      <w:r>
        <w:rPr>
          <w:rFonts w:hint="eastAsia" w:ascii="仿宋_GB2312" w:hAnsi="等线" w:eastAsia="仿宋_GB2312"/>
          <w:sz w:val="32"/>
          <w:szCs w:val="32"/>
        </w:rPr>
        <w:t>争创全国文化金融合作试验区。实施“设计+”工程，</w:t>
      </w:r>
      <w:r>
        <w:rPr>
          <w:rFonts w:hint="eastAsia" w:ascii="仿宋_GB2312" w:hAnsi="仿宋_GB2312" w:eastAsia="仿宋_GB2312" w:cs="仿宋_GB2312"/>
          <w:sz w:val="32"/>
          <w:szCs w:val="32"/>
        </w:rPr>
        <w:t>建成一批国家级和省级创意设计中心、国际文化创意</w:t>
      </w:r>
      <w:r>
        <w:rPr>
          <w:rFonts w:hint="eastAsia" w:ascii="仿宋_GB2312" w:hAnsi="仿宋" w:eastAsia="仿宋_GB2312"/>
          <w:kern w:val="0"/>
          <w:sz w:val="32"/>
          <w:szCs w:val="32"/>
        </w:rPr>
        <w:t>产业</w:t>
      </w:r>
      <w:r>
        <w:rPr>
          <w:rFonts w:hint="eastAsia" w:ascii="仿宋_GB2312" w:hAnsi="仿宋_GB2312" w:eastAsia="仿宋_GB2312" w:cs="仿宋_GB2312"/>
          <w:sz w:val="32"/>
          <w:szCs w:val="32"/>
        </w:rPr>
        <w:t>孵化中心，设立面向全球的创意设计大奖，</w:t>
      </w:r>
      <w:r>
        <w:rPr>
          <w:rFonts w:hint="eastAsia" w:ascii="仿宋_GB2312" w:hAnsi="仿宋_GB2312" w:eastAsia="仿宋_GB2312" w:cs="仿宋_GB2312"/>
          <w:sz w:val="32"/>
          <w:szCs w:val="32"/>
          <w:lang w:val="zh-TW"/>
        </w:rPr>
        <w:t>办好</w:t>
      </w:r>
      <w:r>
        <w:rPr>
          <w:rFonts w:hint="eastAsia" w:ascii="仿宋_GB2312" w:hAnsi="仿宋_GB2312" w:eastAsia="仿宋_GB2312" w:cs="仿宋_GB2312"/>
          <w:sz w:val="32"/>
          <w:szCs w:val="32"/>
        </w:rPr>
        <w:t>深圳设计周暨环球设计大奖、创意十二月等</w:t>
      </w:r>
      <w:r>
        <w:rPr>
          <w:rFonts w:hint="eastAsia" w:ascii="仿宋_GB2312" w:hAnsi="仿宋_GB2312" w:eastAsia="仿宋_GB2312" w:cs="仿宋_GB2312"/>
          <w:sz w:val="32"/>
          <w:szCs w:val="32"/>
          <w:lang w:val="zh-TW"/>
        </w:rPr>
        <w:t>品牌活动。</w:t>
      </w:r>
      <w:r>
        <w:rPr>
          <w:rFonts w:hint="eastAsia" w:ascii="仿宋_GB2312" w:hAnsi="仿宋_GB2312" w:eastAsia="仿宋_GB2312" w:cs="仿宋_GB2312"/>
          <w:sz w:val="32"/>
          <w:szCs w:val="32"/>
        </w:rPr>
        <w:t>到2025年，文化及相关产业增加值超过3000亿元。</w:t>
      </w:r>
    </w:p>
    <w:p>
      <w:pPr>
        <w:overflowPunct w:val="0"/>
        <w:autoSpaceDE w:val="0"/>
        <w:adjustRightInd w:val="0"/>
        <w:snapToGrid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zh-TW"/>
        </w:rPr>
        <w:t>大力发展数字文化产业。</w:t>
      </w:r>
      <w:r>
        <w:rPr>
          <w:rFonts w:hint="eastAsia" w:ascii="仿宋_GB2312" w:hAnsi="仿宋_GB2312" w:eastAsia="仿宋_GB2312" w:cs="仿宋_GB2312"/>
          <w:sz w:val="32"/>
          <w:szCs w:val="32"/>
        </w:rPr>
        <w:t>实施文化产业数字化战略，积极参与国家文化大数据体系建设</w:t>
      </w:r>
      <w:r>
        <w:rPr>
          <w:rFonts w:hint="eastAsia" w:ascii="仿宋_GB2312" w:hAnsi="仿宋" w:eastAsia="仿宋_GB2312"/>
          <w:kern w:val="0"/>
          <w:sz w:val="32"/>
          <w:szCs w:val="32"/>
        </w:rPr>
        <w:t>。加快国家文化和科技融合示范基地建设，推进文化原创研发和文化科技系统集成。</w:t>
      </w:r>
      <w:r>
        <w:rPr>
          <w:rFonts w:hint="eastAsia" w:ascii="仿宋_GB2312" w:hAnsi="仿宋_GB2312" w:eastAsia="仿宋_GB2312" w:cs="仿宋_GB2312"/>
          <w:sz w:val="32"/>
          <w:szCs w:val="32"/>
          <w:lang w:val="zh-TW"/>
        </w:rPr>
        <w:t>扶持优秀动漫作品创作生产，鼓励研发具有自主知识产权的网络游戏，促进电竞</w:t>
      </w:r>
      <w:r>
        <w:rPr>
          <w:rFonts w:hint="eastAsia" w:ascii="仿宋_GB2312" w:hAnsi="仿宋" w:eastAsia="仿宋_GB2312"/>
          <w:kern w:val="0"/>
          <w:sz w:val="32"/>
          <w:szCs w:val="32"/>
        </w:rPr>
        <w:t>业</w:t>
      </w:r>
      <w:r>
        <w:rPr>
          <w:rFonts w:hint="eastAsia" w:ascii="仿宋_GB2312" w:hAnsi="仿宋_GB2312" w:eastAsia="仿宋_GB2312" w:cs="仿宋_GB2312"/>
          <w:sz w:val="32"/>
          <w:szCs w:val="32"/>
          <w:lang w:val="zh-TW"/>
        </w:rPr>
        <w:t>健康发展，打造全球动漫游戏原创中心。支持网络</w:t>
      </w:r>
      <w:r>
        <w:rPr>
          <w:rFonts w:hint="eastAsia" w:ascii="仿宋_GB2312" w:hAnsi="仿宋_GB2312" w:eastAsia="仿宋_GB2312" w:cs="仿宋_GB2312"/>
          <w:sz w:val="32"/>
          <w:szCs w:val="32"/>
        </w:rPr>
        <w:t>IP授权开发，鼓励优秀网络文化作品创作发行。支持举办国际数字广告大会，建设全国移动端互联网广告监测（深圳）中心，推动互联网广告产业高质量发展。</w:t>
      </w:r>
      <w:r>
        <w:rPr>
          <w:rFonts w:hint="eastAsia" w:ascii="仿宋_GB2312" w:hAnsi="仿宋_GB2312" w:eastAsia="仿宋_GB2312" w:cs="仿宋_GB2312"/>
          <w:sz w:val="32"/>
          <w:szCs w:val="32"/>
          <w:lang w:val="zh-TW"/>
        </w:rPr>
        <w:t>优化影视产业扶持机制，吸引一批影视行业龙头企业落户</w:t>
      </w:r>
      <w:r>
        <w:rPr>
          <w:rFonts w:hint="eastAsia" w:ascii="仿宋_GB2312" w:hAnsi="仿宋_GB2312" w:eastAsia="仿宋_GB2312" w:cs="仿宋_GB2312"/>
          <w:sz w:val="32"/>
          <w:szCs w:val="32"/>
        </w:rPr>
        <w:t>，打造影视产业园。</w:t>
      </w:r>
    </w:p>
    <w:p>
      <w:pPr>
        <w:spacing w:line="600" w:lineRule="exact"/>
      </w:pPr>
    </w:p>
    <w:p>
      <w:pPr>
        <w:spacing w:line="600" w:lineRule="exact"/>
        <w:jc w:val="center"/>
        <w:outlineLvl w:val="2"/>
        <w:rPr>
          <w:rFonts w:ascii="楷体" w:hAnsi="楷体" w:eastAsia="楷体" w:cs="楷体"/>
          <w:b/>
          <w:bCs/>
          <w:sz w:val="32"/>
          <w:szCs w:val="32"/>
        </w:rPr>
      </w:pPr>
      <w:bookmarkStart w:id="3596" w:name="_Toc30077"/>
      <w:bookmarkStart w:id="3597" w:name="_Toc18045"/>
      <w:bookmarkStart w:id="3598" w:name="_Toc16400"/>
      <w:bookmarkStart w:id="3599" w:name="_Toc14095"/>
      <w:bookmarkStart w:id="3600" w:name="_Toc30949"/>
      <w:bookmarkStart w:id="3601" w:name="_Toc14272"/>
      <w:bookmarkStart w:id="3602" w:name="_Toc24777"/>
      <w:bookmarkStart w:id="3603" w:name="_Toc6061"/>
      <w:bookmarkStart w:id="3604" w:name="_Toc2086"/>
      <w:bookmarkStart w:id="3605" w:name="_Toc27225"/>
      <w:bookmarkStart w:id="3606" w:name="_Toc11100"/>
      <w:bookmarkStart w:id="3607" w:name="_Toc16707"/>
      <w:bookmarkStart w:id="3608" w:name="_Toc2450"/>
      <w:bookmarkStart w:id="3609" w:name="_Toc22602"/>
      <w:bookmarkStart w:id="3610" w:name="_Toc26133"/>
      <w:bookmarkStart w:id="3611" w:name="_Toc21163"/>
      <w:bookmarkStart w:id="3612" w:name="_Toc25882"/>
      <w:bookmarkStart w:id="3613" w:name="_Toc17192"/>
      <w:bookmarkStart w:id="3614" w:name="_Toc30529"/>
      <w:bookmarkStart w:id="3615" w:name="_Toc29880"/>
      <w:bookmarkStart w:id="3616" w:name="_Toc6133"/>
      <w:bookmarkStart w:id="3617" w:name="_Toc27342"/>
      <w:bookmarkStart w:id="3618" w:name="_Toc16798"/>
      <w:bookmarkStart w:id="3619" w:name="_Toc13043"/>
      <w:bookmarkStart w:id="3620" w:name="_Toc7230"/>
      <w:bookmarkStart w:id="3621" w:name="_Toc22037"/>
      <w:bookmarkStart w:id="3622" w:name="_Toc18451"/>
      <w:bookmarkStart w:id="3623" w:name="_Toc3076"/>
      <w:bookmarkStart w:id="3624" w:name="_Toc12906"/>
      <w:bookmarkStart w:id="3625" w:name="_Toc5072"/>
      <w:bookmarkStart w:id="3626" w:name="_Toc28391"/>
      <w:bookmarkStart w:id="3627" w:name="_Toc24334"/>
      <w:bookmarkStart w:id="3628" w:name="_Toc10451"/>
      <w:bookmarkStart w:id="3629" w:name="_Toc8912"/>
      <w:bookmarkStart w:id="3630" w:name="_Toc12975"/>
      <w:bookmarkStart w:id="3631" w:name="_Toc27633"/>
      <w:bookmarkStart w:id="3632" w:name="_Toc24599"/>
      <w:bookmarkStart w:id="3633" w:name="_Toc25009"/>
      <w:bookmarkStart w:id="3634" w:name="_Toc17005"/>
      <w:bookmarkStart w:id="3635" w:name="_Toc19975"/>
      <w:bookmarkStart w:id="3636" w:name="_Toc4350"/>
      <w:bookmarkStart w:id="3637" w:name="_Toc15671"/>
      <w:bookmarkStart w:id="3638" w:name="_Toc30918"/>
      <w:bookmarkStart w:id="3639" w:name="_Toc2872"/>
      <w:bookmarkStart w:id="3640" w:name="_Toc13917"/>
      <w:bookmarkStart w:id="3641" w:name="_Toc2203"/>
      <w:bookmarkStart w:id="3642" w:name="_Toc32624"/>
      <w:bookmarkStart w:id="3643" w:name="_Toc20653"/>
      <w:bookmarkStart w:id="3644" w:name="_Toc8816"/>
      <w:bookmarkStart w:id="3645" w:name="_Toc3098"/>
      <w:bookmarkStart w:id="3646" w:name="_Toc10636"/>
      <w:bookmarkStart w:id="3647" w:name="_Toc17398"/>
      <w:bookmarkStart w:id="3648" w:name="_Toc10259"/>
      <w:bookmarkStart w:id="3649" w:name="_Toc26940"/>
      <w:bookmarkStart w:id="3650" w:name="_Toc31162"/>
      <w:bookmarkStart w:id="3651" w:name="_Toc11797"/>
      <w:bookmarkStart w:id="3652" w:name="_Toc18083"/>
      <w:bookmarkStart w:id="3653" w:name="_Toc13527"/>
      <w:bookmarkStart w:id="3654" w:name="_Toc2185"/>
      <w:bookmarkStart w:id="3655" w:name="_Toc28192"/>
      <w:bookmarkStart w:id="3656" w:name="_Toc20456"/>
      <w:bookmarkStart w:id="3657" w:name="_Toc21604"/>
      <w:bookmarkStart w:id="3658" w:name="_Toc12156"/>
      <w:bookmarkStart w:id="3659" w:name="_Toc31821"/>
      <w:bookmarkStart w:id="3660" w:name="_Toc8236"/>
      <w:bookmarkStart w:id="3661" w:name="_Toc23759"/>
      <w:bookmarkStart w:id="3662" w:name="_Toc14635"/>
      <w:bookmarkStart w:id="3663" w:name="_Toc29920"/>
      <w:bookmarkStart w:id="3664" w:name="_Toc23420"/>
      <w:bookmarkStart w:id="3665" w:name="_Toc29565"/>
      <w:bookmarkStart w:id="3666" w:name="_Toc9075"/>
      <w:bookmarkStart w:id="3667" w:name="_Toc17381"/>
      <w:r>
        <w:rPr>
          <w:rFonts w:hint="eastAsia" w:ascii="楷体" w:hAnsi="楷体" w:eastAsia="楷体" w:cs="楷体"/>
          <w:b/>
          <w:bCs/>
          <w:sz w:val="32"/>
          <w:szCs w:val="32"/>
        </w:rPr>
        <w:t>第二节 打造世界级运动活力之城</w:t>
      </w:r>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打造国际运动休闲之城。</w:t>
      </w:r>
      <w:r>
        <w:rPr>
          <w:rFonts w:hint="eastAsia" w:ascii="仿宋_GB2312" w:hAnsi="仿宋_GB2312" w:eastAsia="仿宋_GB2312" w:cs="仿宋_GB2312"/>
          <w:sz w:val="32"/>
          <w:szCs w:val="32"/>
        </w:rPr>
        <w:t>充分利用城市空间建设健身场地和设施，创建城市社区运动场地设施建设试点城市。加快推进深圳市体育中心改造工程、</w:t>
      </w:r>
      <w:r>
        <w:rPr>
          <w:rFonts w:hint="eastAsia" w:ascii="仿宋_GB2312" w:eastAsia="仿宋_GB2312"/>
          <w:sz w:val="32"/>
          <w:szCs w:val="32"/>
        </w:rPr>
        <w:t>深圳市青少年足球训练基地等项目建设</w:t>
      </w:r>
      <w:r>
        <w:rPr>
          <w:rFonts w:hint="eastAsia" w:ascii="仿宋_GB2312" w:hAnsi="仿宋_GB2312" w:eastAsia="仿宋_GB2312" w:cs="仿宋_GB2312"/>
          <w:sz w:val="32"/>
          <w:szCs w:val="32"/>
        </w:rPr>
        <w:t>，推动体育场馆免费或优惠向社会开放。</w:t>
      </w:r>
      <w:r>
        <w:rPr>
          <w:rFonts w:hint="eastAsia" w:ascii="仿宋_GB2312" w:eastAsia="仿宋_GB2312"/>
          <w:sz w:val="32"/>
          <w:szCs w:val="32"/>
        </w:rPr>
        <w:t>完善全民健身公共服务体系，丰富日常健身休闲活动供给，培育山地户外、水上运动、航空运动、冰雪运动以及民族传统体育运动等健身休闲项目，</w:t>
      </w:r>
      <w:r>
        <w:rPr>
          <w:rFonts w:hint="eastAsia" w:ascii="仿宋_GB2312" w:hAnsi="仿宋_GB2312" w:eastAsia="仿宋_GB2312" w:cs="仿宋_GB2312"/>
          <w:sz w:val="32"/>
          <w:szCs w:val="32"/>
        </w:rPr>
        <w:t>创建国家体育消费试点城市。</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建设国际著名赛事之城。</w:t>
      </w:r>
      <w:r>
        <w:rPr>
          <w:rFonts w:hint="eastAsia" w:ascii="仿宋_GB2312" w:hAnsi="仿宋_GB2312" w:eastAsia="仿宋_GB2312" w:cs="仿宋_GB2312"/>
          <w:sz w:val="32"/>
          <w:szCs w:val="32"/>
        </w:rPr>
        <w:t>构建高端体育赛事体系，</w:t>
      </w:r>
      <w:r>
        <w:rPr>
          <w:rFonts w:hint="eastAsia" w:ascii="仿宋_GB2312" w:eastAsia="仿宋_GB2312"/>
          <w:sz w:val="32"/>
          <w:szCs w:val="32"/>
        </w:rPr>
        <w:t>创新促进体育赛事发展的服务管理模式，完善市场化运作机制。继续办好中国杯帆船赛、深圳国际马拉松赛、WTA年终总决赛等国际知名赛事，</w:t>
      </w:r>
      <w:r>
        <w:rPr>
          <w:rFonts w:hint="eastAsia" w:ascii="仿宋_GB2312" w:hAnsi="仿宋_GB2312" w:eastAsia="仿宋_GB2312" w:cs="仿宋_GB2312"/>
          <w:sz w:val="32"/>
          <w:szCs w:val="32"/>
        </w:rPr>
        <w:t>积极申办</w:t>
      </w:r>
      <w:r>
        <w:rPr>
          <w:rFonts w:hint="eastAsia" w:ascii="仿宋_GB2312" w:eastAsia="仿宋_GB2312"/>
          <w:sz w:val="32"/>
          <w:szCs w:val="32"/>
        </w:rPr>
        <w:t>足球、篮球和排球</w:t>
      </w:r>
      <w:r>
        <w:rPr>
          <w:rFonts w:hint="eastAsia" w:ascii="仿宋_GB2312" w:hAnsi="仿宋_GB2312" w:eastAsia="仿宋_GB2312" w:cs="仿宋_GB2312"/>
          <w:sz w:val="32"/>
          <w:szCs w:val="32"/>
        </w:rPr>
        <w:t>等重要项目的国际顶级赛事，</w:t>
      </w:r>
      <w:r>
        <w:rPr>
          <w:rFonts w:hint="eastAsia" w:ascii="仿宋_GB2312" w:eastAsia="仿宋_GB2312"/>
          <w:sz w:val="32"/>
          <w:szCs w:val="32"/>
        </w:rPr>
        <w:t>培育和引进高水平的职业体育俱乐部</w:t>
      </w:r>
      <w:r>
        <w:rPr>
          <w:rFonts w:hint="eastAsia" w:ascii="仿宋_GB2312" w:hAnsi="仿宋_GB2312" w:eastAsia="仿宋_GB2312" w:cs="仿宋_GB2312"/>
          <w:sz w:val="32"/>
          <w:szCs w:val="32"/>
        </w:rPr>
        <w:t>。推进中国足协（深圳）训练中心和田径、冰球、乒乓球、羽毛球等国家队训练基地建设。</w:t>
      </w:r>
      <w:r>
        <w:rPr>
          <w:rFonts w:hint="eastAsia" w:ascii="仿宋_GB2312" w:eastAsia="仿宋_GB2312"/>
          <w:sz w:val="32"/>
          <w:szCs w:val="32"/>
        </w:rPr>
        <w:t>支持举办象棋、围棋、国际象棋、桥牌等智力运动赛事。</w:t>
      </w:r>
    </w:p>
    <w:p>
      <w:pPr>
        <w:overflowPunct w:val="0"/>
        <w:autoSpaceDE w:val="0"/>
        <w:adjustRightInd w:val="0"/>
        <w:snapToGrid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培育发展现代体育产业。</w:t>
      </w:r>
      <w:r>
        <w:rPr>
          <w:rFonts w:hint="eastAsia" w:ascii="仿宋_GB2312" w:eastAsia="仿宋_GB2312"/>
          <w:sz w:val="32"/>
          <w:szCs w:val="32"/>
        </w:rPr>
        <w:t>优化体育产业发展结构，</w:t>
      </w:r>
      <w:r>
        <w:rPr>
          <w:rFonts w:hint="eastAsia" w:ascii="仿宋_GB2312" w:hAnsi="仿宋_GB2312" w:eastAsia="仿宋_GB2312" w:cs="仿宋_GB2312"/>
          <w:sz w:val="32"/>
          <w:szCs w:val="32"/>
        </w:rPr>
        <w:t>大力发展体育竞赛表演、体育中介服务、体育传媒与信息服务等各类体育服务业。培育具有核心竞争力的体育企业和国际影响力的自主品牌，</w:t>
      </w:r>
      <w:r>
        <w:rPr>
          <w:rFonts w:hint="eastAsia" w:ascii="仿宋_GB2312" w:eastAsia="仿宋_GB2312"/>
          <w:sz w:val="32"/>
          <w:szCs w:val="32"/>
        </w:rPr>
        <w:t>发挥深圳国家体育产业基地引领作用，</w:t>
      </w:r>
      <w:r>
        <w:rPr>
          <w:rFonts w:hint="eastAsia" w:ascii="仿宋_GB2312" w:hAnsi="仿宋_GB2312" w:eastAsia="仿宋_GB2312" w:cs="仿宋_GB2312"/>
          <w:sz w:val="32"/>
          <w:szCs w:val="32"/>
        </w:rPr>
        <w:t>打造一批具有较强示范性的体育产业园区和基地。积极培育“体育+”和“+体育”新业态，推进体育产业创新发展</w:t>
      </w:r>
      <w:r>
        <w:rPr>
          <w:rFonts w:hint="eastAsia" w:ascii="仿宋_GB2312" w:eastAsia="仿宋_GB2312"/>
          <w:sz w:val="32"/>
          <w:szCs w:val="32"/>
        </w:rPr>
        <w:t>。</w:t>
      </w:r>
      <w:r>
        <w:rPr>
          <w:rFonts w:hint="eastAsia" w:ascii="仿宋_GB2312" w:hAnsi="仿宋_GB2312" w:eastAsia="仿宋_GB2312" w:cs="仿宋_GB2312"/>
          <w:sz w:val="32"/>
          <w:szCs w:val="32"/>
        </w:rPr>
        <w:t>到2025年，体育产业增加值超过1000亿元。</w:t>
      </w:r>
    </w:p>
    <w:p>
      <w:pPr>
        <w:overflowPunct w:val="0"/>
        <w:autoSpaceDE w:val="0"/>
        <w:adjustRightInd w:val="0"/>
        <w:snapToGrid w:val="0"/>
        <w:spacing w:line="600" w:lineRule="exact"/>
        <w:ind w:firstLine="640" w:firstLineChars="200"/>
        <w:rPr>
          <w:rFonts w:ascii="仿宋_GB2312" w:hAnsi="仿宋_GB2312" w:eastAsia="仿宋_GB2312" w:cs="仿宋_GB2312"/>
          <w:sz w:val="32"/>
          <w:szCs w:val="32"/>
        </w:rPr>
      </w:pPr>
    </w:p>
    <w:p>
      <w:pPr>
        <w:spacing w:line="600" w:lineRule="exact"/>
        <w:jc w:val="center"/>
        <w:outlineLvl w:val="2"/>
        <w:rPr>
          <w:rFonts w:ascii="楷体" w:hAnsi="楷体" w:eastAsia="楷体" w:cs="楷体"/>
          <w:b/>
          <w:bCs/>
          <w:sz w:val="32"/>
          <w:szCs w:val="32"/>
        </w:rPr>
      </w:pPr>
      <w:bookmarkStart w:id="3668" w:name="_Toc23817"/>
      <w:bookmarkStart w:id="3669" w:name="_Toc15018"/>
      <w:bookmarkStart w:id="3670" w:name="_Toc7196"/>
      <w:bookmarkStart w:id="3671" w:name="_Toc23077"/>
      <w:bookmarkStart w:id="3672" w:name="_Toc12954"/>
      <w:bookmarkStart w:id="3673" w:name="_Toc31911"/>
      <w:bookmarkStart w:id="3674" w:name="_Toc13166"/>
      <w:bookmarkStart w:id="3675" w:name="_Toc27135"/>
      <w:bookmarkStart w:id="3676" w:name="_Toc6848"/>
      <w:bookmarkStart w:id="3677" w:name="_Toc10048"/>
      <w:bookmarkStart w:id="3678" w:name="_Toc13077"/>
      <w:bookmarkStart w:id="3679" w:name="_Toc12418"/>
      <w:bookmarkStart w:id="3680" w:name="_Toc16989"/>
      <w:bookmarkStart w:id="3681" w:name="_Toc5097"/>
      <w:bookmarkStart w:id="3682" w:name="_Toc19677"/>
      <w:bookmarkStart w:id="3683" w:name="_Toc22539"/>
      <w:bookmarkStart w:id="3684" w:name="_Toc14661"/>
      <w:bookmarkStart w:id="3685" w:name="_Toc4430"/>
      <w:bookmarkStart w:id="3686" w:name="_Toc14182"/>
      <w:bookmarkStart w:id="3687" w:name="_Toc9405"/>
      <w:bookmarkStart w:id="3688" w:name="_Toc28687"/>
      <w:bookmarkStart w:id="3689" w:name="_Toc2864"/>
      <w:bookmarkStart w:id="3690" w:name="_Toc26334"/>
      <w:bookmarkStart w:id="3691" w:name="_Toc30961"/>
      <w:bookmarkStart w:id="3692" w:name="_Toc30303"/>
      <w:bookmarkStart w:id="3693" w:name="_Toc1414"/>
      <w:bookmarkStart w:id="3694" w:name="_Toc3531"/>
      <w:bookmarkStart w:id="3695" w:name="_Toc14539"/>
      <w:bookmarkStart w:id="3696" w:name="_Toc26164"/>
      <w:bookmarkStart w:id="3697" w:name="_Toc4450"/>
      <w:bookmarkStart w:id="3698" w:name="_Toc13418"/>
      <w:bookmarkStart w:id="3699" w:name="_Toc24989"/>
      <w:bookmarkStart w:id="3700" w:name="_Toc12016"/>
      <w:bookmarkStart w:id="3701" w:name="_Toc16607"/>
      <w:bookmarkStart w:id="3702" w:name="_Toc5936"/>
      <w:bookmarkStart w:id="3703" w:name="_Toc31536"/>
      <w:bookmarkStart w:id="3704" w:name="_Toc5458"/>
      <w:bookmarkStart w:id="3705" w:name="_Toc1010"/>
      <w:bookmarkStart w:id="3706" w:name="_Toc10367"/>
      <w:bookmarkStart w:id="3707" w:name="_Toc29756"/>
      <w:bookmarkStart w:id="3708" w:name="_Toc12783"/>
      <w:bookmarkStart w:id="3709" w:name="_Toc28636"/>
      <w:bookmarkStart w:id="3710" w:name="_Toc29295"/>
      <w:bookmarkStart w:id="3711" w:name="_Toc3149"/>
      <w:bookmarkStart w:id="3712" w:name="_Toc15338"/>
      <w:bookmarkStart w:id="3713" w:name="_Toc11124"/>
      <w:bookmarkStart w:id="3714" w:name="_Toc12225"/>
      <w:bookmarkStart w:id="3715" w:name="_Toc29602"/>
      <w:bookmarkStart w:id="3716" w:name="_Toc3576"/>
      <w:bookmarkStart w:id="3717" w:name="_Toc27698"/>
      <w:bookmarkStart w:id="3718" w:name="_Toc2610"/>
      <w:bookmarkStart w:id="3719" w:name="_Toc10330"/>
      <w:bookmarkStart w:id="3720" w:name="_Toc577"/>
      <w:bookmarkStart w:id="3721" w:name="_Toc25364"/>
      <w:bookmarkStart w:id="3722" w:name="_Toc22270"/>
      <w:bookmarkStart w:id="3723" w:name="_Toc23763"/>
      <w:bookmarkStart w:id="3724" w:name="_Toc14901"/>
      <w:bookmarkStart w:id="3725" w:name="_Toc9727"/>
      <w:bookmarkStart w:id="3726" w:name="_Toc9035"/>
      <w:bookmarkStart w:id="3727" w:name="_Toc27703"/>
      <w:bookmarkStart w:id="3728" w:name="_Toc25666"/>
      <w:bookmarkStart w:id="3729" w:name="_Toc24820"/>
      <w:bookmarkStart w:id="3730" w:name="_Toc11056"/>
      <w:bookmarkStart w:id="3731" w:name="_Toc12820"/>
      <w:bookmarkStart w:id="3732" w:name="_Toc29676"/>
      <w:bookmarkStart w:id="3733" w:name="_Toc1181"/>
      <w:bookmarkStart w:id="3734" w:name="_Toc23685"/>
      <w:bookmarkStart w:id="3735" w:name="_Toc26646"/>
      <w:bookmarkStart w:id="3736" w:name="_Toc29462"/>
      <w:bookmarkStart w:id="3737" w:name="_Toc19301"/>
      <w:bookmarkStart w:id="3738" w:name="_Toc9238"/>
      <w:bookmarkStart w:id="3739" w:name="_Toc6993"/>
      <w:r>
        <w:rPr>
          <w:rFonts w:hint="eastAsia" w:ascii="楷体" w:hAnsi="楷体" w:eastAsia="楷体" w:cs="楷体"/>
          <w:b/>
          <w:bCs/>
          <w:sz w:val="32"/>
          <w:szCs w:val="32"/>
        </w:rPr>
        <w:t>第三节 建设世界级旅游</w:t>
      </w:r>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r>
        <w:rPr>
          <w:rFonts w:hint="eastAsia" w:ascii="楷体" w:hAnsi="楷体" w:eastAsia="楷体" w:cs="楷体"/>
          <w:b/>
          <w:bCs/>
          <w:sz w:val="32"/>
          <w:szCs w:val="32"/>
        </w:rPr>
        <w:t>景区和度假区</w:t>
      </w:r>
      <w:bookmarkEnd w:id="3727"/>
      <w:bookmarkEnd w:id="3728"/>
      <w:bookmarkEnd w:id="3729"/>
      <w:bookmarkEnd w:id="3730"/>
      <w:bookmarkEnd w:id="3731"/>
      <w:bookmarkEnd w:id="3732"/>
      <w:bookmarkEnd w:id="3733"/>
      <w:bookmarkEnd w:id="3734"/>
      <w:bookmarkEnd w:id="3735"/>
      <w:bookmarkEnd w:id="3736"/>
      <w:bookmarkEnd w:id="3737"/>
      <w:bookmarkEnd w:id="3738"/>
      <w:bookmarkEnd w:id="3739"/>
    </w:p>
    <w:p>
      <w:pPr>
        <w:overflowPunct w:val="0"/>
        <w:autoSpaceDE w:val="0"/>
        <w:adjustRightInd w:val="0"/>
        <w:snapToGrid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创建国际滨海旅游城市。</w:t>
      </w:r>
      <w:r>
        <w:rPr>
          <w:rFonts w:hint="eastAsia" w:ascii="仿宋_GB2312" w:hAnsi="仿宋_GB2312" w:eastAsia="仿宋_GB2312" w:cs="仿宋_GB2312"/>
          <w:sz w:val="32"/>
          <w:szCs w:val="32"/>
        </w:rPr>
        <w:t>着力打造西部都市活力海岸带、中部科技动力海岸带、东部生态魅力海岸带，加快创建国家全域旅游示范区。优化升级深圳旅游观光巴士和“海上看深圳”旅游项目，拓展更多观光旅游品牌项目。大力发展邮轮旅游、游艇旅游，简化邮轮、游艇及旅客出入境手续，打造蛇口邮轮母港消费圈，建设中国邮轮旅游发展实验区，探索建设大湾区国际游艇旅游自由港。</w:t>
      </w:r>
    </w:p>
    <w:p>
      <w:pPr>
        <w:overflowPunct w:val="0"/>
        <w:autoSpaceDE w:val="0"/>
        <w:adjustRightInd w:val="0"/>
        <w:snapToGrid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推进文化旅游高品质融合发展。</w:t>
      </w:r>
      <w:r>
        <w:rPr>
          <w:rFonts w:hint="eastAsia" w:ascii="仿宋_GB2312" w:hAnsi="仿宋_GB2312" w:eastAsia="仿宋_GB2312" w:cs="仿宋_GB2312"/>
          <w:sz w:val="32"/>
          <w:szCs w:val="32"/>
        </w:rPr>
        <w:t>坚持以文塑旅、以旅彰文，发掘深圳时尚创意元素和人文历史、民俗文化等城市记忆，创建国家文化和旅游消费示范城市。</w:t>
      </w:r>
      <w:r>
        <w:rPr>
          <w:rFonts w:hint="eastAsia" w:ascii="仿宋_GB2312" w:hAnsi="仿宋" w:eastAsia="仿宋_GB2312" w:cs="仿宋_GB2312"/>
          <w:sz w:val="32"/>
        </w:rPr>
        <w:t>推动华侨城在深文旅项目和小梅沙片区品质提升，</w:t>
      </w:r>
      <w:r>
        <w:rPr>
          <w:rFonts w:hint="eastAsia" w:ascii="仿宋_GB2312" w:hAnsi="仿宋_GB2312" w:eastAsia="仿宋_GB2312" w:cs="仿宋_GB2312"/>
          <w:sz w:val="32"/>
          <w:szCs w:val="32"/>
        </w:rPr>
        <w:t>建成新大旅游项目、冰雪文旅综合体，加快推进沙头角中英街、海上田园等旅游消费聚集区建设。大力发展红色旅游，重点保护利用东江纵队司令部旧址、中共宝安县“一大”旧址等红色文化资源。规划建设现代都市田园，发展集都市农业、休闲度假、文化体验和运动生活于一体的生态农业旅游。鼓励旅游消费业态创新，积极发展工业旅游、研学旅游、康养旅游等新兴旅游消费业态。</w:t>
      </w:r>
    </w:p>
    <w:p>
      <w:pPr>
        <w:overflowPunct w:val="0"/>
        <w:autoSpaceDE w:val="0"/>
        <w:adjustRightInd w:val="0"/>
        <w:snapToGrid w:val="0"/>
        <w:spacing w:line="600" w:lineRule="exact"/>
        <w:ind w:firstLine="640" w:firstLineChars="200"/>
        <w:rPr>
          <w:rFonts w:ascii="仿宋_GB2312" w:hAnsi="仿宋_GB2312" w:eastAsia="仿宋_GB2312" w:cs="仿宋_GB2312"/>
          <w:sz w:val="32"/>
          <w:szCs w:val="32"/>
        </w:rPr>
      </w:pPr>
    </w:p>
    <w:p>
      <w:pPr>
        <w:spacing w:line="600" w:lineRule="exact"/>
        <w:jc w:val="center"/>
        <w:outlineLvl w:val="2"/>
        <w:rPr>
          <w:rFonts w:ascii="楷体" w:hAnsi="楷体" w:eastAsia="楷体" w:cs="楷体"/>
          <w:b/>
          <w:bCs/>
          <w:sz w:val="32"/>
          <w:szCs w:val="32"/>
        </w:rPr>
      </w:pPr>
      <w:bookmarkStart w:id="3740" w:name="_Toc8873"/>
      <w:bookmarkStart w:id="3741" w:name="_Toc16425"/>
      <w:bookmarkStart w:id="3742" w:name="_Toc3422"/>
      <w:bookmarkStart w:id="3743" w:name="_Toc9233"/>
      <w:bookmarkStart w:id="3744" w:name="_Toc25609"/>
      <w:bookmarkStart w:id="3745" w:name="_Toc24377"/>
      <w:bookmarkStart w:id="3746" w:name="_Toc21733"/>
      <w:bookmarkStart w:id="3747" w:name="_Toc10006"/>
      <w:bookmarkStart w:id="3748" w:name="_Toc27735"/>
      <w:bookmarkStart w:id="3749" w:name="_Toc31349"/>
      <w:bookmarkStart w:id="3750" w:name="_Toc6220"/>
      <w:bookmarkStart w:id="3751" w:name="_Toc5601"/>
      <w:bookmarkStart w:id="3752" w:name="_Toc988"/>
      <w:bookmarkStart w:id="3753" w:name="_Toc17774"/>
      <w:bookmarkStart w:id="3754" w:name="_Toc31090"/>
      <w:bookmarkStart w:id="3755" w:name="_Toc15628"/>
      <w:bookmarkStart w:id="3756" w:name="_Toc16893"/>
      <w:bookmarkStart w:id="3757" w:name="_Toc22792"/>
      <w:bookmarkStart w:id="3758" w:name="_Toc4671"/>
      <w:bookmarkStart w:id="3759" w:name="_Toc9315"/>
      <w:bookmarkStart w:id="3760" w:name="_Toc30307"/>
      <w:bookmarkStart w:id="3761" w:name="_Toc1812"/>
      <w:bookmarkStart w:id="3762" w:name="_Toc20193"/>
      <w:bookmarkStart w:id="3763" w:name="_Toc26815"/>
      <w:bookmarkStart w:id="3764" w:name="_Toc14581"/>
      <w:bookmarkStart w:id="3765" w:name="_Toc25729"/>
      <w:bookmarkStart w:id="3766" w:name="_Toc5829"/>
      <w:bookmarkStart w:id="3767" w:name="_Toc13033"/>
      <w:bookmarkStart w:id="3768" w:name="_Toc76"/>
      <w:bookmarkStart w:id="3769" w:name="_Toc10068"/>
      <w:bookmarkStart w:id="3770" w:name="_Toc1902"/>
      <w:bookmarkStart w:id="3771" w:name="_Toc15392"/>
      <w:bookmarkStart w:id="3772" w:name="_Toc27521"/>
      <w:bookmarkStart w:id="3773" w:name="_Toc5450"/>
      <w:bookmarkStart w:id="3774" w:name="_Toc25121"/>
      <w:bookmarkStart w:id="3775" w:name="_Toc4088"/>
      <w:bookmarkStart w:id="3776" w:name="_Toc425"/>
      <w:bookmarkStart w:id="3777" w:name="_Toc20883"/>
      <w:bookmarkStart w:id="3778" w:name="_Toc22928"/>
      <w:bookmarkStart w:id="3779" w:name="_Toc20189"/>
      <w:bookmarkStart w:id="3780" w:name="_Toc2188"/>
      <w:bookmarkStart w:id="3781" w:name="_Toc17836"/>
      <w:bookmarkStart w:id="3782" w:name="_Toc23007"/>
      <w:bookmarkStart w:id="3783" w:name="_Toc28587"/>
      <w:bookmarkStart w:id="3784" w:name="_Toc15007"/>
      <w:bookmarkStart w:id="3785" w:name="_Toc24073"/>
      <w:bookmarkStart w:id="3786" w:name="_Toc28480"/>
      <w:bookmarkStart w:id="3787" w:name="_Toc1853"/>
      <w:bookmarkStart w:id="3788" w:name="_Toc21021"/>
      <w:bookmarkStart w:id="3789" w:name="_Toc6790"/>
      <w:bookmarkStart w:id="3790" w:name="_Toc6414"/>
      <w:bookmarkStart w:id="3791" w:name="_Toc24649"/>
      <w:bookmarkStart w:id="3792" w:name="_Toc29359"/>
      <w:bookmarkStart w:id="3793" w:name="_Toc22892"/>
      <w:bookmarkStart w:id="3794" w:name="_Toc28223"/>
      <w:bookmarkStart w:id="3795" w:name="_Toc29792"/>
      <w:bookmarkStart w:id="3796" w:name="_Toc12602"/>
      <w:bookmarkStart w:id="3797" w:name="_Toc31175"/>
      <w:bookmarkStart w:id="3798" w:name="_Toc7000"/>
      <w:bookmarkStart w:id="3799" w:name="_Toc7022"/>
      <w:bookmarkStart w:id="3800" w:name="_Toc21994"/>
      <w:bookmarkStart w:id="3801" w:name="_Toc10586"/>
      <w:bookmarkStart w:id="3802" w:name="_Toc6183"/>
      <w:bookmarkStart w:id="3803" w:name="_Toc3287"/>
      <w:bookmarkStart w:id="3804" w:name="_Toc21312"/>
      <w:bookmarkStart w:id="3805" w:name="_Toc18226"/>
      <w:bookmarkStart w:id="3806" w:name="_Toc8797"/>
      <w:bookmarkStart w:id="3807" w:name="_Toc10672"/>
      <w:bookmarkStart w:id="3808" w:name="_Toc15390"/>
      <w:bookmarkStart w:id="3809" w:name="_Toc2968"/>
      <w:bookmarkStart w:id="3810" w:name="_Toc22106"/>
      <w:bookmarkStart w:id="3811" w:name="_Toc29972"/>
      <w:r>
        <w:rPr>
          <w:rFonts w:hint="eastAsia" w:ascii="楷体" w:hAnsi="楷体" w:eastAsia="楷体" w:cs="楷体"/>
          <w:b/>
          <w:bCs/>
          <w:sz w:val="32"/>
          <w:szCs w:val="32"/>
        </w:rPr>
        <w:t>第四节 全面提升城市对外交往能力与文化辐射力</w:t>
      </w:r>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p>
    <w:p>
      <w:pPr>
        <w:overflowPunct w:val="0"/>
        <w:autoSpaceDE w:val="0"/>
        <w:adjustRightInd w:val="0"/>
        <w:snapToGrid w:val="0"/>
        <w:spacing w:line="60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着力提升城市国际化涵养。</w:t>
      </w:r>
      <w:r>
        <w:rPr>
          <w:rFonts w:hint="eastAsia" w:ascii="仿宋_GB2312" w:hAnsi="仿宋_GB2312" w:eastAsia="仿宋_GB2312" w:cs="仿宋_GB2312"/>
          <w:sz w:val="32"/>
          <w:szCs w:val="32"/>
        </w:rPr>
        <w:t>普及国际化城市建设理念，培育市民国际交往意识，打造“国际化”系列品牌，不断</w:t>
      </w:r>
      <w:r>
        <w:rPr>
          <w:rStyle w:val="37"/>
          <w:rFonts w:hint="eastAsia" w:ascii="仿宋_GB2312" w:hAnsi="仿宋_GB2312" w:eastAsia="仿宋_GB2312" w:cs="仿宋_GB2312"/>
          <w:bCs/>
          <w:color w:val="000000"/>
          <w:sz w:val="32"/>
          <w:szCs w:val="32"/>
        </w:rPr>
        <w:t>提升城市参与国际治理的能力和举办重大活动的服务保障能力。积极争取承办国家重大主场外交，</w:t>
      </w:r>
      <w:r>
        <w:rPr>
          <w:rFonts w:hint="eastAsia" w:ascii="仿宋_GB2312" w:hAnsi="仿宋_GB2312" w:eastAsia="仿宋_GB2312" w:cs="仿宋_GB2312"/>
          <w:sz w:val="32"/>
          <w:szCs w:val="32"/>
        </w:rPr>
        <w:t>加快建设深圳国际交流中心等重大涉外活动及会议场所。引进国际组织和机构落户深圳，引导各行业进一步衔接国际通用规则，</w:t>
      </w:r>
      <w:r>
        <w:rPr>
          <w:rStyle w:val="37"/>
          <w:rFonts w:hint="eastAsia" w:ascii="仿宋_GB2312" w:hAnsi="仿宋_GB2312" w:eastAsia="仿宋_GB2312" w:cs="仿宋_GB2312"/>
          <w:bCs/>
          <w:color w:val="000000"/>
          <w:sz w:val="32"/>
          <w:szCs w:val="32"/>
        </w:rPr>
        <w:t>支持社会力量参与对外交往。织密国际友城网络，打造友城交往项目集群，擦亮民间外交“深圳品牌”。提升对国际形势与重大发展问题的研究能力，加强与国际智库等机构合作</w:t>
      </w:r>
      <w:r>
        <w:rPr>
          <w:rFonts w:hint="eastAsia" w:ascii="仿宋_GB2312" w:hAnsi="仿宋_GB2312" w:eastAsia="仿宋_GB2312" w:cs="仿宋_GB2312"/>
          <w:bCs/>
          <w:sz w:val="32"/>
          <w:szCs w:val="32"/>
        </w:rPr>
        <w:t>。</w:t>
      </w:r>
    </w:p>
    <w:p>
      <w:pPr>
        <w:overflowPunct w:val="0"/>
        <w:autoSpaceDE w:val="0"/>
        <w:adjustRightInd w:val="0"/>
        <w:snapToGrid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加强深港澳文化艺术交流。</w:t>
      </w:r>
      <w:r>
        <w:rPr>
          <w:rFonts w:hint="eastAsia" w:ascii="仿宋_GB2312" w:hAnsi="仿宋_GB2312" w:eastAsia="仿宋_GB2312" w:cs="仿宋_GB2312"/>
          <w:sz w:val="32"/>
          <w:szCs w:val="32"/>
        </w:rPr>
        <w:t>积极参与举办粤港澳大湾区文化艺术节，联合港澳举办大湾区（国际）青年艺术嘉年华等多种形式的文化艺术活动，加强深港澳三地专业文化机构合作交流。深化数字创意、演艺音乐等领域合作，共同办好深港城市建筑双城双年展、深港澳设计三城展等大型文创展览。鼓励港澳同胞尤其是青少年来深学习实习、考察交流，打造深港澳青少年交流精品品牌，涵养同宗同源的文化底蕴，不断增进港澳同胞的祖国认同、民族认同、文化认同。</w:t>
      </w:r>
    </w:p>
    <w:p>
      <w:pPr>
        <w:overflowPunct w:val="0"/>
        <w:autoSpaceDE w:val="0"/>
        <w:adjustRightInd w:val="0"/>
        <w:snapToGrid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强化国际传播能力建设。</w:t>
      </w:r>
      <w:r>
        <w:rPr>
          <w:rFonts w:hint="eastAsia" w:ascii="仿宋_GB2312" w:hAnsi="仿宋_GB2312" w:eastAsia="仿宋_GB2312" w:cs="仿宋_GB2312"/>
          <w:sz w:val="32"/>
          <w:szCs w:val="32"/>
        </w:rPr>
        <w:t>主动作为探索“云外事”，务实开展“云外交”，展现新时代对外交往的深圳特色。积极参与举办粤港澳大湾区媒体峰会，办好媒体融合发展论坛。提升国家对外文化贸易基地（深圳）影响力，建设适用国际通用规则的文化艺术品（非文物）拍卖中心。深化深圳报业、广电、出版集团改革，加快推进媒体深度融合，健全市场化机制。打造一批具有强大影响力和竞争力的新型主流媒体，加快构建网上网下一体、内宣外宣联动的主流舆论格局，建立全媒体传播体系。构建兼具“中国味”和“世界范”的文化交流平台，创新推介路径，对外讲好新时代的中国故事、大湾区故事、深圳故事。</w:t>
      </w:r>
    </w:p>
    <w:p>
      <w:pPr>
        <w:spacing w:line="600" w:lineRule="exact"/>
      </w:pPr>
    </w:p>
    <w:p>
      <w:pPr>
        <w:pStyle w:val="8"/>
        <w:spacing w:line="600" w:lineRule="exact"/>
        <w:sectPr>
          <w:pgSz w:w="11906" w:h="16838"/>
          <w:pgMar w:top="1440" w:right="1800" w:bottom="1440" w:left="1800" w:header="851" w:footer="992" w:gutter="0"/>
          <w:cols w:space="425" w:num="1"/>
          <w:docGrid w:type="lines" w:linePitch="312" w:charSpace="0"/>
        </w:sectPr>
      </w:pPr>
    </w:p>
    <w:p>
      <w:pPr>
        <w:spacing w:line="600" w:lineRule="exact"/>
        <w:jc w:val="center"/>
        <w:outlineLvl w:val="0"/>
        <w:rPr>
          <w:rFonts w:ascii="黑体" w:hAnsi="黑体" w:eastAsia="黑体" w:cs="黑体"/>
          <w:sz w:val="40"/>
          <w:szCs w:val="40"/>
        </w:rPr>
      </w:pPr>
      <w:bookmarkStart w:id="3812" w:name="_Toc11698"/>
      <w:bookmarkStart w:id="3813" w:name="_Toc30788"/>
      <w:bookmarkStart w:id="3814" w:name="_Toc27914"/>
      <w:bookmarkStart w:id="3815" w:name="_Toc8405"/>
      <w:bookmarkStart w:id="3816" w:name="_Toc23618"/>
      <w:bookmarkStart w:id="3817" w:name="_Toc9157"/>
      <w:bookmarkStart w:id="3818" w:name="_Toc2513"/>
      <w:bookmarkStart w:id="3819" w:name="_Toc31979"/>
      <w:bookmarkStart w:id="3820" w:name="_Toc19690"/>
      <w:bookmarkStart w:id="3821" w:name="_Toc24536"/>
      <w:bookmarkStart w:id="3822" w:name="_Toc24311"/>
      <w:bookmarkStart w:id="3823" w:name="_Toc29288"/>
      <w:bookmarkStart w:id="3824" w:name="_Toc9854"/>
      <w:bookmarkStart w:id="3825" w:name="_Toc22629"/>
      <w:bookmarkStart w:id="3826" w:name="_Toc28488"/>
      <w:bookmarkStart w:id="3827" w:name="_Toc22877"/>
      <w:bookmarkStart w:id="3828" w:name="_Toc15060"/>
      <w:bookmarkStart w:id="3829" w:name="_Toc7424"/>
      <w:bookmarkStart w:id="3830" w:name="_Toc7739"/>
      <w:bookmarkStart w:id="3831" w:name="_Toc31934"/>
      <w:bookmarkStart w:id="3832" w:name="_Toc4366"/>
      <w:bookmarkStart w:id="3833" w:name="_Toc2212"/>
      <w:bookmarkStart w:id="3834" w:name="_Toc8752"/>
      <w:bookmarkStart w:id="3835" w:name="_Toc22083"/>
      <w:bookmarkStart w:id="3836" w:name="_Toc13095"/>
      <w:bookmarkStart w:id="3837" w:name="_Toc20445"/>
      <w:bookmarkStart w:id="3838" w:name="_Toc2480"/>
      <w:bookmarkStart w:id="3839" w:name="_Toc26080"/>
      <w:bookmarkStart w:id="3840" w:name="_Toc21443"/>
      <w:bookmarkStart w:id="3841" w:name="_Toc17266"/>
      <w:bookmarkStart w:id="3842" w:name="_Toc8374"/>
      <w:bookmarkStart w:id="3843" w:name="_Toc31728"/>
      <w:bookmarkStart w:id="3844" w:name="_Toc22443"/>
      <w:bookmarkStart w:id="3845" w:name="_Toc30579"/>
      <w:bookmarkStart w:id="3846" w:name="_Toc11991"/>
      <w:bookmarkStart w:id="3847" w:name="_Toc15422"/>
      <w:bookmarkStart w:id="3848" w:name="_Toc17015"/>
      <w:bookmarkStart w:id="3849" w:name="_Toc17035"/>
      <w:bookmarkStart w:id="3850" w:name="_Toc19438"/>
      <w:bookmarkStart w:id="3851" w:name="_Toc29061"/>
      <w:bookmarkStart w:id="3852" w:name="_Toc29850"/>
      <w:bookmarkStart w:id="3853" w:name="_Toc28826"/>
      <w:bookmarkStart w:id="3854" w:name="_Toc14410"/>
      <w:bookmarkStart w:id="3855" w:name="_Toc30559"/>
      <w:bookmarkStart w:id="3856" w:name="_Toc16390"/>
      <w:bookmarkStart w:id="3857" w:name="_Toc26627"/>
      <w:bookmarkStart w:id="3858" w:name="_Toc10851"/>
      <w:bookmarkStart w:id="3859" w:name="_Toc1751"/>
      <w:bookmarkStart w:id="3860" w:name="_Toc20834"/>
      <w:bookmarkStart w:id="3861" w:name="_Toc8411"/>
      <w:bookmarkStart w:id="3862" w:name="_Toc2944"/>
      <w:bookmarkStart w:id="3863" w:name="_Toc6426"/>
      <w:bookmarkStart w:id="3864" w:name="_Toc24682"/>
      <w:bookmarkStart w:id="3865" w:name="_Toc12518"/>
      <w:bookmarkStart w:id="3866" w:name="_Toc26228"/>
      <w:bookmarkStart w:id="3867" w:name="_Toc5375"/>
      <w:bookmarkStart w:id="3868" w:name="_Toc21292"/>
      <w:bookmarkStart w:id="3869" w:name="_Toc8241"/>
      <w:bookmarkStart w:id="3870" w:name="_Toc29441"/>
      <w:bookmarkStart w:id="3871" w:name="_Toc31415"/>
      <w:bookmarkStart w:id="3872" w:name="_Toc8145"/>
      <w:bookmarkStart w:id="3873" w:name="_Toc19466"/>
      <w:bookmarkStart w:id="3874" w:name="_Toc8723"/>
      <w:bookmarkStart w:id="3875" w:name="_Toc18884"/>
      <w:bookmarkStart w:id="3876" w:name="_Toc21257"/>
      <w:bookmarkStart w:id="3877" w:name="_Toc32403"/>
      <w:bookmarkStart w:id="3878" w:name="_Toc5872"/>
      <w:bookmarkStart w:id="3879" w:name="_Toc22319"/>
      <w:bookmarkStart w:id="3880" w:name="_Toc6147"/>
      <w:bookmarkStart w:id="3881" w:name="_Toc2529"/>
      <w:bookmarkStart w:id="3882" w:name="_Toc12636"/>
      <w:bookmarkStart w:id="3883" w:name="_Toc30611"/>
      <w:bookmarkStart w:id="3884" w:name="_Toc16388"/>
      <w:r>
        <w:rPr>
          <w:rFonts w:hint="eastAsia" w:ascii="黑体" w:hAnsi="黑体" w:eastAsia="黑体" w:cs="黑体"/>
          <w:sz w:val="40"/>
          <w:szCs w:val="40"/>
        </w:rPr>
        <w:t>第六篇 率先形成共建共治共享共同富裕的</w:t>
      </w:r>
      <w:r>
        <w:rPr>
          <w:rFonts w:hint="eastAsia" w:ascii="黑体" w:hAnsi="黑体" w:eastAsia="黑体" w:cs="黑体"/>
          <w:sz w:val="40"/>
          <w:szCs w:val="40"/>
        </w:rPr>
        <w:br w:type="textWrapping"/>
      </w:r>
      <w:r>
        <w:rPr>
          <w:rFonts w:hint="eastAsia" w:ascii="黑体" w:hAnsi="黑体" w:eastAsia="黑体" w:cs="黑体"/>
          <w:sz w:val="40"/>
          <w:szCs w:val="40"/>
        </w:rPr>
        <w:t>民生发展格局</w:t>
      </w:r>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p>
    <w:p>
      <w:pPr>
        <w:spacing w:line="600" w:lineRule="exact"/>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践行以人民为中心的发展思想，瞄准幼有善育、学有优教、劳有厚得、病有良医、老有颐养、住有宜居、弱有众扶，加大政府投入力度，努力构建优质均衡的公共服务体系，让人民群众获得感成色更足、幸福感更可持续、安全感更有保障。</w:t>
      </w:r>
    </w:p>
    <w:p>
      <w:pPr>
        <w:pStyle w:val="14"/>
        <w:spacing w:line="600" w:lineRule="exact"/>
        <w:rPr>
          <w:lang w:val="zh-CN"/>
        </w:rPr>
      </w:pPr>
    </w:p>
    <w:p>
      <w:pPr>
        <w:overflowPunct w:val="0"/>
        <w:spacing w:line="600" w:lineRule="exact"/>
        <w:jc w:val="center"/>
        <w:outlineLvl w:val="1"/>
        <w:rPr>
          <w:rFonts w:ascii="黑体" w:hAnsi="黑体" w:eastAsia="黑体" w:cs="黑体"/>
          <w:sz w:val="36"/>
          <w:szCs w:val="36"/>
        </w:rPr>
      </w:pPr>
      <w:bookmarkStart w:id="3885" w:name="_Toc14845"/>
      <w:bookmarkStart w:id="3886" w:name="_Toc25492"/>
      <w:bookmarkStart w:id="3887" w:name="_Toc14978"/>
      <w:bookmarkStart w:id="3888" w:name="_Toc17706"/>
      <w:bookmarkStart w:id="3889" w:name="_Toc13200"/>
      <w:bookmarkStart w:id="3890" w:name="_Toc459"/>
      <w:bookmarkStart w:id="3891" w:name="_Toc28980"/>
      <w:bookmarkStart w:id="3892" w:name="_Toc7832"/>
      <w:bookmarkStart w:id="3893" w:name="_Toc3031"/>
      <w:bookmarkStart w:id="3894" w:name="_Toc19532"/>
      <w:bookmarkStart w:id="3895" w:name="_Toc31028"/>
      <w:bookmarkStart w:id="3896" w:name="_Toc10642"/>
      <w:bookmarkStart w:id="3897" w:name="_Toc22919"/>
      <w:bookmarkStart w:id="3898" w:name="_Toc31025"/>
      <w:bookmarkStart w:id="3899" w:name="_Toc10244"/>
      <w:bookmarkStart w:id="3900" w:name="_Toc7135"/>
      <w:bookmarkStart w:id="3901" w:name="_Toc11381"/>
      <w:bookmarkStart w:id="3902" w:name="_Toc27520"/>
      <w:bookmarkStart w:id="3903" w:name="_Toc10080"/>
      <w:bookmarkStart w:id="3904" w:name="_Toc17188"/>
      <w:bookmarkStart w:id="3905" w:name="_Toc164"/>
      <w:bookmarkStart w:id="3906" w:name="_Toc24622"/>
      <w:bookmarkStart w:id="3907" w:name="_Toc31238"/>
      <w:bookmarkStart w:id="3908" w:name="_Toc5757"/>
      <w:bookmarkStart w:id="3909" w:name="_Toc20640"/>
      <w:bookmarkStart w:id="3910" w:name="_Toc9166"/>
      <w:bookmarkStart w:id="3911" w:name="_Toc26342"/>
      <w:bookmarkStart w:id="3912" w:name="_Toc4910"/>
      <w:bookmarkStart w:id="3913" w:name="_Toc7165"/>
      <w:bookmarkStart w:id="3914" w:name="_Toc740"/>
      <w:bookmarkStart w:id="3915" w:name="_Toc26300"/>
      <w:bookmarkStart w:id="3916" w:name="_Toc14544"/>
      <w:bookmarkStart w:id="3917" w:name="_Toc16604"/>
      <w:bookmarkStart w:id="3918" w:name="_Toc10095"/>
      <w:bookmarkStart w:id="3919" w:name="_Toc30785"/>
      <w:bookmarkStart w:id="3920" w:name="_Toc23467"/>
      <w:bookmarkStart w:id="3921" w:name="_Toc13598"/>
      <w:bookmarkStart w:id="3922" w:name="_Toc14553"/>
      <w:bookmarkStart w:id="3923" w:name="_Toc7368"/>
      <w:bookmarkStart w:id="3924" w:name="_Toc9253"/>
      <w:bookmarkStart w:id="3925" w:name="_Toc11921"/>
      <w:bookmarkStart w:id="3926" w:name="_Toc19833"/>
      <w:bookmarkStart w:id="3927" w:name="_Toc615"/>
      <w:bookmarkStart w:id="3928" w:name="_Toc821"/>
      <w:bookmarkStart w:id="3929" w:name="_Toc22103"/>
      <w:bookmarkStart w:id="3930" w:name="_Toc4551"/>
      <w:bookmarkStart w:id="3931" w:name="_Toc19878"/>
      <w:bookmarkStart w:id="3932" w:name="_Toc1081"/>
      <w:bookmarkStart w:id="3933" w:name="_Toc6825"/>
      <w:bookmarkStart w:id="3934" w:name="_Toc25070"/>
      <w:bookmarkStart w:id="3935" w:name="_Toc25025"/>
      <w:bookmarkStart w:id="3936" w:name="_Toc20905"/>
      <w:r>
        <w:fldChar w:fldCharType="begin"/>
      </w:r>
      <w:r>
        <w:instrText xml:space="preserve"> HYPERLINK \l "_Toc6228" </w:instrText>
      </w:r>
      <w:r>
        <w:fldChar w:fldCharType="separate"/>
      </w:r>
      <w:r>
        <w:rPr>
          <w:rFonts w:hint="eastAsia" w:ascii="黑体" w:hAnsi="黑体" w:eastAsia="黑体" w:cs="黑体"/>
          <w:sz w:val="36"/>
          <w:szCs w:val="36"/>
        </w:rPr>
        <w:t>第十二章</w:t>
      </w:r>
      <w:r>
        <w:rPr>
          <w:rFonts w:ascii="黑体" w:hAnsi="黑体" w:eastAsia="黑体" w:cs="黑体"/>
          <w:sz w:val="36"/>
          <w:szCs w:val="36"/>
        </w:rPr>
        <w:t xml:space="preserve"> </w:t>
      </w:r>
      <w:r>
        <w:rPr>
          <w:rFonts w:ascii="黑体" w:hAnsi="黑体" w:eastAsia="黑体" w:cs="黑体"/>
          <w:sz w:val="36"/>
          <w:szCs w:val="36"/>
        </w:rPr>
        <w:fldChar w:fldCharType="end"/>
      </w:r>
      <w:r>
        <w:rPr>
          <w:rFonts w:hint="eastAsia" w:ascii="黑体" w:hAnsi="黑体" w:eastAsia="黑体" w:cs="黑体"/>
          <w:sz w:val="36"/>
          <w:szCs w:val="36"/>
        </w:rPr>
        <w:t>办好人民满意的教育</w:t>
      </w:r>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p>
    <w:p>
      <w:pPr>
        <w:spacing w:line="600" w:lineRule="exact"/>
        <w:jc w:val="center"/>
      </w:pPr>
    </w:p>
    <w:p>
      <w:pPr>
        <w:overflowPunct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面贯彻党的教育方针，坚持教育优先发展战略，落实立德树人根本任务，打赢思政教育改革创新、基础教育学位保障、民办教育规范提质攻坚战，深化高等教育体制机制改革，推进部省共建职业教育创新发展高地，打造国家基础教育综合改革示范区。</w:t>
      </w:r>
    </w:p>
    <w:p>
      <w:pPr>
        <w:overflowPunct w:val="0"/>
        <w:spacing w:line="600" w:lineRule="exact"/>
      </w:pPr>
    </w:p>
    <w:p>
      <w:pPr>
        <w:overflowPunct w:val="0"/>
        <w:spacing w:line="600" w:lineRule="exact"/>
        <w:jc w:val="center"/>
        <w:outlineLvl w:val="2"/>
        <w:rPr>
          <w:rFonts w:ascii="楷体" w:hAnsi="楷体" w:eastAsia="楷体" w:cs="楷体"/>
          <w:b/>
          <w:sz w:val="32"/>
          <w:szCs w:val="32"/>
        </w:rPr>
      </w:pPr>
      <w:bookmarkStart w:id="3937" w:name="_Toc7748"/>
      <w:bookmarkStart w:id="3938" w:name="_Toc31848"/>
      <w:bookmarkStart w:id="3939" w:name="_Toc26603"/>
      <w:bookmarkStart w:id="3940" w:name="_Toc5844"/>
      <w:bookmarkStart w:id="3941" w:name="_Toc26346"/>
      <w:bookmarkStart w:id="3942" w:name="_Toc13381"/>
      <w:bookmarkStart w:id="3943" w:name="_Toc8840"/>
      <w:bookmarkStart w:id="3944" w:name="_Toc8335"/>
      <w:bookmarkStart w:id="3945" w:name="_Toc15576"/>
      <w:bookmarkStart w:id="3946" w:name="_Toc30749"/>
      <w:bookmarkStart w:id="3947" w:name="_Toc22043"/>
      <w:bookmarkStart w:id="3948" w:name="_Toc16542"/>
      <w:bookmarkStart w:id="3949" w:name="_Toc24771"/>
      <w:bookmarkStart w:id="3950" w:name="_Toc22910"/>
      <w:bookmarkStart w:id="3951" w:name="_Toc11239"/>
      <w:bookmarkStart w:id="3952" w:name="_Toc9478"/>
      <w:bookmarkStart w:id="3953" w:name="_Toc4737"/>
      <w:bookmarkStart w:id="3954" w:name="_Toc26427"/>
      <w:bookmarkStart w:id="3955" w:name="_Toc6869"/>
      <w:bookmarkStart w:id="3956" w:name="_Toc25793"/>
      <w:r>
        <w:rPr>
          <w:rFonts w:hint="eastAsia" w:ascii="楷体" w:hAnsi="楷体" w:eastAsia="楷体" w:cs="楷体"/>
          <w:b/>
          <w:bCs/>
          <w:sz w:val="32"/>
          <w:szCs w:val="32"/>
        </w:rPr>
        <w:t>第一节 加快基础教育优质均衡发展</w:t>
      </w:r>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p>
    <w:p>
      <w:pPr>
        <w:overflowPunct w:val="0"/>
        <w:snapToGrid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推动学前教育普惠优质发展。</w:t>
      </w:r>
      <w:r>
        <w:rPr>
          <w:rFonts w:hint="eastAsia" w:ascii="仿宋_GB2312" w:hAnsi="仿宋_GB2312" w:eastAsia="仿宋_GB2312" w:cs="仿宋_GB2312"/>
          <w:sz w:val="32"/>
          <w:szCs w:val="32"/>
        </w:rPr>
        <w:t>优化学前教育财政投入体制，构建以公办园和普惠园为主体、优质特色民办园为补充的学前教育公共服务体系。建立学前教育质量深圳标准，推动幼小衔接，构建富有本土文化特色的学前教育课程体系。支持举办灵活多样的学前教育机构，稳步推进民办幼儿园分类改革。建立高端民办幼儿园设立标准和服务标准，鼓励、支持和规范社会力量参与举办一批优质特色高端民办园。到2025年，新增幼儿园学位12.5万个以上，公办园和普惠性民办园在园幼儿占比达到85%以上。</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促进义务教育优质均衡发展。</w:t>
      </w:r>
      <w:r>
        <w:rPr>
          <w:rFonts w:hint="eastAsia" w:ascii="仿宋_GB2312" w:hAnsi="仿宋_GB2312" w:eastAsia="仿宋_GB2312" w:cs="仿宋_GB2312"/>
          <w:sz w:val="32"/>
          <w:szCs w:val="32"/>
        </w:rPr>
        <w:t>统筹财力优先保障义务教育支出，加强义务教育学位规划与建设，提高学位配置规划标准，</w:t>
      </w:r>
      <w:r>
        <w:rPr>
          <w:rFonts w:hint="eastAsia" w:eastAsia="仿宋_GB2312"/>
          <w:color w:val="000000"/>
          <w:kern w:val="0"/>
          <w:sz w:val="32"/>
          <w:szCs w:val="32"/>
        </w:rPr>
        <w:t>建立学位建设联合审查制度，实施原特区外义务教育学校质量提升计划</w:t>
      </w:r>
      <w:r>
        <w:rPr>
          <w:rFonts w:hint="eastAsia" w:ascii="仿宋_GB2312" w:hAnsi="仿宋_GB2312" w:eastAsia="仿宋_GB2312" w:cs="仿宋_GB2312"/>
          <w:sz w:val="32"/>
          <w:szCs w:val="32"/>
        </w:rPr>
        <w:t>。</w:t>
      </w:r>
      <w:r>
        <w:rPr>
          <w:rFonts w:hint="eastAsia" w:ascii="仿宋_GB2312" w:eastAsia="仿宋_GB2312"/>
          <w:sz w:val="32"/>
          <w:szCs w:val="32"/>
        </w:rPr>
        <w:t>创新高密度城市教育用地保障制度，探索中学、小学建筑楼层设置标准。</w:t>
      </w:r>
      <w:r>
        <w:rPr>
          <w:rFonts w:hint="eastAsia" w:ascii="仿宋_GB2312" w:hAnsi="仿宋_GB2312" w:eastAsia="仿宋_GB2312" w:cs="仿宋_GB2312"/>
          <w:sz w:val="32"/>
          <w:szCs w:val="32"/>
        </w:rPr>
        <w:t>完善义务教育入学机制，构建与人口政策相适应的学位积分政策。健全公平合理的多样化就近入学制度，推行大学区招生和办学管理模式，推进集团化办学，</w:t>
      </w:r>
      <w:r>
        <w:rPr>
          <w:rFonts w:hint="eastAsia" w:ascii="仿宋_GB2312" w:eastAsia="仿宋_GB2312"/>
          <w:sz w:val="32"/>
          <w:szCs w:val="32"/>
        </w:rPr>
        <w:t>消除大班额</w:t>
      </w:r>
      <w:r>
        <w:rPr>
          <w:rFonts w:hint="eastAsia" w:ascii="仿宋_GB2312" w:hAnsi="仿宋_GB2312" w:eastAsia="仿宋_GB2312" w:cs="仿宋_GB2312"/>
          <w:sz w:val="32"/>
          <w:szCs w:val="32"/>
        </w:rPr>
        <w:t>，逐步改善师生比。实施学生综合素质提升、创新教育、未来教育、智慧教育建设工程，深化体教融合，增强学生体育素养，加强艺术、劳动和心理健康教育，</w:t>
      </w:r>
      <w:r>
        <w:rPr>
          <w:rFonts w:hint="eastAsia" w:ascii="仿宋_GB2312" w:eastAsia="仿宋_GB2312"/>
          <w:sz w:val="32"/>
          <w:szCs w:val="32"/>
        </w:rPr>
        <w:t>高标准建设云端学校和“未来学校”。</w:t>
      </w:r>
      <w:r>
        <w:rPr>
          <w:rFonts w:hint="eastAsia" w:ascii="仿宋_GB2312" w:hAnsi="仿宋_GB2312" w:eastAsia="仿宋_GB2312" w:cs="仿宋_GB2312"/>
          <w:sz w:val="32"/>
          <w:szCs w:val="32"/>
        </w:rPr>
        <w:t>到2025年，新增公办义务教育学位67.3万个。</w:t>
      </w:r>
    </w:p>
    <w:p>
      <w:pPr>
        <w:overflowPunct w:val="0"/>
        <w:snapToGrid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推进高中多元特色发展。</w:t>
      </w:r>
      <w:r>
        <w:rPr>
          <w:rFonts w:hint="eastAsia" w:ascii="仿宋_GB2312" w:hAnsi="仿宋_GB2312" w:eastAsia="仿宋_GB2312" w:cs="仿宋_GB2312"/>
          <w:sz w:val="32"/>
          <w:szCs w:val="32"/>
        </w:rPr>
        <w:t>探索高中建设与管理新模式，超常规加快高中学校建设，高水平普及高中阶段教育，推进普通高中新课程新教材实施示范区建设。统筹推进高中特色项目、特色课程、特色文化、特色学校建设，积极发展理工类、人文类、体育艺术类等特色高中。推动普职融合发展，建立普通高中与中职学校课程互选、学分互认、学籍互转机制。到2025年，新增公办普高学位11万个，打造国内领先的特色高中、民办品牌高中各10所。</w:t>
      </w:r>
    </w:p>
    <w:p>
      <w:pPr>
        <w:overflowPunct w:val="0"/>
        <w:snapToGrid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完善特殊教育和民办教育。</w:t>
      </w:r>
      <w:r>
        <w:rPr>
          <w:rFonts w:eastAsia="仿宋_GB2312"/>
          <w:color w:val="000000"/>
          <w:kern w:val="0"/>
          <w:sz w:val="32"/>
          <w:szCs w:val="32"/>
        </w:rPr>
        <w:t>按照</w:t>
      </w:r>
      <w:r>
        <w:rPr>
          <w:rFonts w:hint="eastAsia" w:eastAsia="仿宋_GB2312"/>
          <w:color w:val="000000"/>
          <w:kern w:val="0"/>
          <w:sz w:val="32"/>
          <w:szCs w:val="32"/>
        </w:rPr>
        <w:t>“</w:t>
      </w:r>
      <w:r>
        <w:rPr>
          <w:rFonts w:eastAsia="仿宋_GB2312"/>
          <w:color w:val="000000"/>
          <w:kern w:val="0"/>
          <w:sz w:val="32"/>
          <w:szCs w:val="32"/>
        </w:rPr>
        <w:t>全覆盖、零拒绝</w:t>
      </w:r>
      <w:r>
        <w:rPr>
          <w:rFonts w:hint="eastAsia" w:eastAsia="仿宋_GB2312"/>
          <w:color w:val="000000"/>
          <w:kern w:val="0"/>
          <w:sz w:val="32"/>
          <w:szCs w:val="32"/>
        </w:rPr>
        <w:t>”</w:t>
      </w:r>
      <w:r>
        <w:rPr>
          <w:rFonts w:eastAsia="仿宋_GB2312"/>
          <w:color w:val="000000"/>
          <w:kern w:val="0"/>
          <w:sz w:val="32"/>
          <w:szCs w:val="32"/>
        </w:rPr>
        <w:t>的要求，通过普通学校就读、特殊教育学校就读、儿童福利机构特教班就读、送教上门等多种方式，</w:t>
      </w:r>
      <w:r>
        <w:rPr>
          <w:rFonts w:hint="eastAsia" w:eastAsia="仿宋_GB2312"/>
          <w:color w:val="000000"/>
          <w:kern w:val="0"/>
          <w:sz w:val="32"/>
          <w:szCs w:val="32"/>
        </w:rPr>
        <w:t>全面提高特殊教育普及水平</w:t>
      </w:r>
      <w:r>
        <w:rPr>
          <w:rFonts w:eastAsia="仿宋_GB2312"/>
          <w:color w:val="000000"/>
          <w:kern w:val="0"/>
          <w:sz w:val="32"/>
          <w:szCs w:val="32"/>
        </w:rPr>
        <w:t>。</w:t>
      </w:r>
      <w:r>
        <w:rPr>
          <w:rFonts w:hint="eastAsia" w:ascii="仿宋_GB2312" w:hAnsi="仿宋_GB2312" w:eastAsia="仿宋_GB2312" w:cs="仿宋_GB2312"/>
          <w:sz w:val="32"/>
          <w:szCs w:val="32"/>
        </w:rPr>
        <w:t>推进民办学校分类管理改革，构建差异化的扶持政策体系，实施国际教育示范工程，加快建设多元融合学校，按需增设外籍子女学校。到2025年，建设3-5个高端民办教育园区，扶持发展一批优质国际化特色学校。</w:t>
      </w:r>
    </w:p>
    <w:p>
      <w:pPr>
        <w:overflowPunct w:val="0"/>
        <w:spacing w:line="600" w:lineRule="exact"/>
        <w:ind w:firstLine="643" w:firstLineChars="200"/>
        <w:rPr>
          <w:rFonts w:ascii="仿宋_GB2312" w:hAnsi="仿宋_GB2312" w:eastAsia="仿宋_GB2312" w:cs="仿宋_GB2312"/>
          <w:color w:val="000000"/>
          <w:kern w:val="0"/>
          <w:sz w:val="32"/>
          <w:szCs w:val="32"/>
        </w:rPr>
      </w:pPr>
      <w:r>
        <w:rPr>
          <w:rFonts w:hint="eastAsia" w:eastAsia="仿宋_GB2312"/>
          <w:b/>
          <w:color w:val="000000"/>
          <w:kern w:val="0"/>
          <w:sz w:val="32"/>
          <w:szCs w:val="32"/>
        </w:rPr>
        <w:t>完善基础教育高质量发展保障体系。</w:t>
      </w:r>
      <w:r>
        <w:rPr>
          <w:rFonts w:hint="eastAsia" w:eastAsia="仿宋_GB2312"/>
          <w:color w:val="000000"/>
          <w:kern w:val="0"/>
          <w:sz w:val="32"/>
          <w:szCs w:val="32"/>
        </w:rPr>
        <w:t>健全基础教育经费保障体系，构建义务教育投入政府全额保障、非义务教育成本合理分担、鼓励社会力量投资办学的教育投入体制。优化基础教育系统教师发展体系，实施优秀校长和名师培养工程，建设专业化创新型校长、教师队伍。加强教学研究体系建设，全面提升教学研究能力水平</w:t>
      </w:r>
      <w:r>
        <w:rPr>
          <w:rFonts w:hint="eastAsia" w:ascii="仿宋_GB2312" w:hAnsi="仿宋_GB2312" w:eastAsia="仿宋_GB2312" w:cs="仿宋_GB2312"/>
          <w:color w:val="000000"/>
          <w:kern w:val="0"/>
          <w:sz w:val="32"/>
          <w:szCs w:val="32"/>
        </w:rPr>
        <w:t>，分学段配齐配强所有学科专职教研员。完善基础教育质量监测评价体系，加强义务教育质量监测，</w:t>
      </w:r>
      <w:r>
        <w:rPr>
          <w:rFonts w:hint="eastAsia" w:eastAsia="仿宋_GB2312"/>
          <w:color w:val="000000"/>
          <w:kern w:val="0"/>
          <w:sz w:val="32"/>
          <w:szCs w:val="32"/>
        </w:rPr>
        <w:t>率先完成政府履行教育职责评价、教育教学评价、教师评价、学生综合素养评价改革。</w:t>
      </w:r>
    </w:p>
    <w:p>
      <w:pPr>
        <w:pStyle w:val="8"/>
        <w:overflowPunct w:val="0"/>
        <w:spacing w:line="600" w:lineRule="exact"/>
        <w:rPr>
          <w:rFonts w:ascii="仿宋_GB2312" w:hAnsi="仿宋_GB2312" w:eastAsia="仿宋_GB2312" w:cs="仿宋_GB2312"/>
        </w:rPr>
      </w:pPr>
    </w:p>
    <w:p>
      <w:pPr>
        <w:overflowPunct w:val="0"/>
        <w:spacing w:line="600" w:lineRule="exact"/>
        <w:jc w:val="center"/>
        <w:outlineLvl w:val="2"/>
        <w:rPr>
          <w:rFonts w:ascii="楷体" w:hAnsi="楷体" w:eastAsia="楷体" w:cs="楷体"/>
          <w:b/>
          <w:bCs/>
          <w:sz w:val="32"/>
          <w:szCs w:val="32"/>
        </w:rPr>
      </w:pPr>
      <w:bookmarkStart w:id="3957" w:name="_Toc23880"/>
      <w:bookmarkStart w:id="3958" w:name="_Toc5470"/>
      <w:bookmarkStart w:id="3959" w:name="_Toc20105"/>
      <w:bookmarkStart w:id="3960" w:name="_Toc21843"/>
      <w:bookmarkStart w:id="3961" w:name="_Toc27575"/>
      <w:bookmarkStart w:id="3962" w:name="_Toc27826"/>
      <w:bookmarkStart w:id="3963" w:name="_Toc3994"/>
      <w:bookmarkStart w:id="3964" w:name="_Toc7102"/>
      <w:bookmarkStart w:id="3965" w:name="_Toc20885"/>
      <w:bookmarkStart w:id="3966" w:name="_Toc7374"/>
      <w:bookmarkStart w:id="3967" w:name="_Toc878"/>
      <w:bookmarkStart w:id="3968" w:name="_Toc14909"/>
      <w:bookmarkStart w:id="3969" w:name="_Toc2868"/>
      <w:bookmarkStart w:id="3970" w:name="_Toc15417"/>
      <w:bookmarkStart w:id="3971" w:name="_Toc27901"/>
      <w:bookmarkStart w:id="3972" w:name="_Toc6777"/>
      <w:bookmarkStart w:id="3973" w:name="_Toc24752"/>
      <w:bookmarkStart w:id="3974" w:name="_Toc30270"/>
      <w:bookmarkStart w:id="3975" w:name="_Toc15354"/>
      <w:bookmarkStart w:id="3976" w:name="_Toc19583"/>
      <w:r>
        <w:rPr>
          <w:rFonts w:hint="eastAsia" w:ascii="楷体" w:hAnsi="楷体" w:eastAsia="楷体" w:cs="楷体"/>
          <w:b/>
          <w:bCs/>
          <w:sz w:val="32"/>
          <w:szCs w:val="32"/>
        </w:rPr>
        <w:t>第二节 推动高等教育高质量内涵式发展</w:t>
      </w:r>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p>
    <w:p>
      <w:pPr>
        <w:overflowPunct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优化高等教育结构。</w:t>
      </w:r>
      <w:r>
        <w:rPr>
          <w:rFonts w:hint="eastAsia" w:ascii="仿宋_GB2312" w:hAnsi="仿宋_GB2312" w:eastAsia="仿宋_GB2312" w:cs="仿宋_GB2312"/>
          <w:sz w:val="32"/>
          <w:szCs w:val="32"/>
        </w:rPr>
        <w:t>统筹高校规模、学科设置、层次结构和空间布局，</w:t>
      </w:r>
      <w:r>
        <w:rPr>
          <w:rFonts w:hint="eastAsia" w:ascii="仿宋_GB2312" w:hAnsi="仿宋_GB2312" w:eastAsia="仿宋_GB2312" w:cs="仿宋_GB2312"/>
          <w:bCs/>
          <w:sz w:val="32"/>
          <w:szCs w:val="32"/>
        </w:rPr>
        <w:t>推进</w:t>
      </w:r>
      <w:r>
        <w:rPr>
          <w:rFonts w:hint="eastAsia" w:ascii="仿宋_GB2312" w:eastAsia="仿宋_GB2312"/>
          <w:sz w:val="32"/>
          <w:szCs w:val="32"/>
        </w:rPr>
        <w:t>高校分层分类特色发展，</w:t>
      </w:r>
      <w:r>
        <w:rPr>
          <w:rFonts w:hint="eastAsia" w:ascii="仿宋_GB2312" w:hAnsi="仿宋_GB2312" w:eastAsia="仿宋_GB2312" w:cs="仿宋_GB2312"/>
          <w:sz w:val="32"/>
          <w:szCs w:val="32"/>
        </w:rPr>
        <w:t>构建国际化开放式创新型高等教育体系。加快中国科学院深圳理工大学、深圳海洋大学、深圳创新创意设计学院、深圳音乐学院、深圳师范大学、香港大学深圳校区等高校筹建工作，探索都市型高校建设新模式。实施高等教育卓越工程，重点支持深圳大学、南方科技大学建设，争取进入国家“双一流”行列，积极支持哈尔滨工业大学（深圳）、清华大学深圳国际研究生院、北京大学深圳研究生院、香港中文大学（深圳）、深圳北理莫斯科大学等纳入广东省高水平大学建设行列，支持天津大学佐治亚理工深圳学院建设“新工科”示范高校，深圳技术大学加快建成高端应用技术型人才培养新高地。实施学科专业强链补链计划，加快新工科、新医科、新文科建设，培育新兴学科、交叉学科。到2025年，3-5所高校综合排名进入全国前50名。</w:t>
      </w:r>
    </w:p>
    <w:p>
      <w:pPr>
        <w:overflowPunct w:val="0"/>
        <w:snapToGrid w:val="0"/>
        <w:spacing w:line="58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bCs/>
          <w:sz w:val="32"/>
          <w:szCs w:val="32"/>
        </w:rPr>
        <w:t>提升高等教育质量。</w:t>
      </w:r>
      <w:r>
        <w:rPr>
          <w:rFonts w:hint="eastAsia" w:ascii="仿宋_GB2312" w:hAnsi="仿宋_GB2312" w:eastAsia="仿宋_GB2312" w:cs="仿宋_GB2312"/>
          <w:sz w:val="32"/>
          <w:szCs w:val="32"/>
        </w:rPr>
        <w:t>加强高校党建工作，实施思政课教师能力提升计划。加强中青年骨干教师培养，强化博士后师资战略储备库功能。</w:t>
      </w:r>
      <w:r>
        <w:rPr>
          <w:rFonts w:hint="eastAsia" w:ascii="仿宋_GB2312" w:eastAsia="仿宋_GB2312"/>
          <w:sz w:val="32"/>
          <w:szCs w:val="32"/>
        </w:rPr>
        <w:t>鼓励高校</w:t>
      </w:r>
      <w:r>
        <w:rPr>
          <w:rFonts w:ascii="仿宋_GB2312" w:eastAsia="仿宋_GB2312"/>
          <w:sz w:val="32"/>
          <w:szCs w:val="32"/>
        </w:rPr>
        <w:t>积极探索</w:t>
      </w:r>
      <w:r>
        <w:rPr>
          <w:rFonts w:hint="eastAsia" w:ascii="仿宋_GB2312" w:eastAsia="仿宋_GB2312"/>
          <w:sz w:val="32"/>
          <w:szCs w:val="32"/>
        </w:rPr>
        <w:t>“</w:t>
      </w:r>
      <w:r>
        <w:rPr>
          <w:rFonts w:ascii="仿宋_GB2312" w:eastAsia="仿宋_GB2312"/>
          <w:sz w:val="32"/>
          <w:szCs w:val="32"/>
        </w:rPr>
        <w:t>本硕博</w:t>
      </w:r>
      <w:r>
        <w:rPr>
          <w:rFonts w:hint="eastAsia" w:ascii="仿宋_GB2312" w:eastAsia="仿宋_GB2312"/>
          <w:sz w:val="32"/>
          <w:szCs w:val="32"/>
        </w:rPr>
        <w:t>”</w:t>
      </w:r>
      <w:r>
        <w:rPr>
          <w:rFonts w:ascii="仿宋_GB2312" w:eastAsia="仿宋_GB2312"/>
          <w:sz w:val="32"/>
          <w:szCs w:val="32"/>
        </w:rPr>
        <w:t>贯通培养机制</w:t>
      </w:r>
      <w:r>
        <w:rPr>
          <w:rFonts w:hint="eastAsia" w:ascii="仿宋_GB2312" w:eastAsia="仿宋_GB2312"/>
          <w:sz w:val="32"/>
          <w:szCs w:val="32"/>
        </w:rPr>
        <w:t>，实施弹性学制，加强校际学分互认与转化实践，制订个性化培养方案和学业生涯规划，倡导启发式、探究式、讨论式、体验式教学，培养学生独立思考、自由探索、创新创造能力。建立与高校分类分层相适应的绩效评价体系，构建与财政投入相挂钩的激励约束机制。</w:t>
      </w:r>
    </w:p>
    <w:p>
      <w:pPr>
        <w:overflowPunct w:val="0"/>
        <w:snapToGrid w:val="0"/>
        <w:spacing w:line="580" w:lineRule="exact"/>
        <w:ind w:firstLine="643" w:firstLineChars="200"/>
        <w:rPr>
          <w:rFonts w:ascii="仿宋_GB2312" w:eastAsia="仿宋_GB2312"/>
          <w:sz w:val="32"/>
          <w:szCs w:val="32"/>
        </w:rPr>
      </w:pPr>
      <w:r>
        <w:rPr>
          <w:rFonts w:hint="eastAsia" w:ascii="仿宋_GB2312" w:hAnsi="仿宋_GB2312" w:eastAsia="仿宋_GB2312" w:cs="仿宋_GB2312"/>
          <w:b/>
          <w:sz w:val="32"/>
          <w:szCs w:val="32"/>
        </w:rPr>
        <w:t>建设高等教育综合改革先行示范区。</w:t>
      </w:r>
      <w:r>
        <w:rPr>
          <w:rFonts w:hint="eastAsia" w:ascii="仿宋_GB2312" w:eastAsia="仿宋_GB2312"/>
          <w:sz w:val="32"/>
          <w:szCs w:val="32"/>
        </w:rPr>
        <w:t>深化办学体制改革，创新公办高校建设模式，健全“生均经费+专项经费”投入机制，积极引进社会资本参与办学、捐资办学。扩大高校办学自主权，健全“党委领导、校长负责、教授治学、民主管理、社会参与”的制度体系和治理结构。实施高校人员总量管理及薪酬制度改革，健全高校教师评聘制度，建立科学的、符合时代要求的教育评价制度和机制。深化招生制度改革，推广基于高考基础的综合评价录取模式。引进境外优质教育资源，开展高水平中外合作办学，打造高等教育对外开放合作新标杆。</w:t>
      </w:r>
    </w:p>
    <w:p>
      <w:pPr>
        <w:overflowPunct w:val="0"/>
        <w:spacing w:line="580" w:lineRule="exact"/>
      </w:pPr>
    </w:p>
    <w:p>
      <w:pPr>
        <w:overflowPunct w:val="0"/>
        <w:spacing w:line="580" w:lineRule="exact"/>
        <w:jc w:val="center"/>
        <w:outlineLvl w:val="2"/>
        <w:rPr>
          <w:rFonts w:ascii="楷体" w:hAnsi="楷体" w:eastAsia="楷体" w:cs="楷体"/>
          <w:b/>
          <w:bCs/>
          <w:sz w:val="32"/>
          <w:szCs w:val="32"/>
        </w:rPr>
      </w:pPr>
      <w:bookmarkStart w:id="3977" w:name="_Toc29907"/>
      <w:bookmarkStart w:id="3978" w:name="_Toc28412"/>
      <w:bookmarkStart w:id="3979" w:name="_Toc8629"/>
      <w:bookmarkStart w:id="3980" w:name="_Toc25982"/>
      <w:bookmarkStart w:id="3981" w:name="_Toc25756"/>
      <w:bookmarkStart w:id="3982" w:name="_Toc16845"/>
      <w:bookmarkStart w:id="3983" w:name="_Toc12108"/>
      <w:bookmarkStart w:id="3984" w:name="_Toc24497"/>
      <w:bookmarkStart w:id="3985" w:name="_Toc11811"/>
      <w:bookmarkStart w:id="3986" w:name="_Toc32085"/>
      <w:bookmarkStart w:id="3987" w:name="_Toc5207"/>
      <w:bookmarkStart w:id="3988" w:name="_Toc25372"/>
      <w:bookmarkStart w:id="3989" w:name="_Toc1700"/>
      <w:bookmarkStart w:id="3990" w:name="_Toc24047"/>
      <w:bookmarkStart w:id="3991" w:name="_Toc29443"/>
      <w:bookmarkStart w:id="3992" w:name="_Toc30890"/>
      <w:bookmarkStart w:id="3993" w:name="_Toc30556"/>
      <w:bookmarkStart w:id="3994" w:name="_Toc16735"/>
      <w:bookmarkStart w:id="3995" w:name="_Toc7543"/>
      <w:bookmarkStart w:id="3996" w:name="_Toc4601"/>
      <w:r>
        <w:rPr>
          <w:rFonts w:hint="eastAsia" w:ascii="楷体" w:hAnsi="楷体" w:eastAsia="楷体" w:cs="楷体"/>
          <w:b/>
          <w:bCs/>
          <w:sz w:val="32"/>
          <w:szCs w:val="32"/>
        </w:rPr>
        <w:t>第三节 打造世界一流职业教育高地</w:t>
      </w:r>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p>
    <w:p>
      <w:pPr>
        <w:overflowPunct w:val="0"/>
        <w:topLinePunct/>
        <w:snapToGrid w:val="0"/>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建设一批中国特色世界先进职业院校。</w:t>
      </w:r>
      <w:r>
        <w:rPr>
          <w:rFonts w:hint="eastAsia" w:ascii="仿宋_GB2312" w:hAnsi="仿宋_GB2312" w:eastAsia="仿宋_GB2312" w:cs="仿宋_GB2312"/>
          <w:sz w:val="32"/>
          <w:szCs w:val="32"/>
        </w:rPr>
        <w:t>加快推进部省共建职业教育示范城市，建立健全适应“双元”育人职业教育体制机制，构建贯通中职、高职、应用型本科及以上层次的现代职业教育体系，探索中国特色学徒制，加强创新型、应用型、技能型人才培养。支持深圳职业技术学院、深圳信息职业技术学院“双高”建设，发展本科及以上层次职业教育，率先建成中国特色世界一流职业院校。实施中职教育扩容提质计划，支持高职、中职学校联合组建职业教育集团。扩大深圳技术大学招收中职和高职院校毕业生规模。提升深圳技师职业学院和深圳鹏城技师学院办学层次，建设成为专业特色鲜明的高水平技工院校。到2025年，创建6-8所优质中职学校和10-15个优质专业群，建成2-3所具有世界一流水平的职业学校。</w:t>
      </w:r>
    </w:p>
    <w:p>
      <w:pPr>
        <w:overflowPunct w:val="0"/>
        <w:topLinePunct/>
        <w:snapToGrid w:val="0"/>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加快国家产教融合试点城市建设。</w:t>
      </w:r>
      <w:r>
        <w:rPr>
          <w:rFonts w:hint="eastAsia" w:ascii="仿宋_GB2312" w:hAnsi="仿宋_GB2312" w:eastAsia="仿宋_GB2312" w:cs="仿宋_GB2312"/>
          <w:sz w:val="32"/>
          <w:szCs w:val="32"/>
        </w:rPr>
        <w:t>探索更加适应市场需求的职业教育办学模式，深化“引企入教”改革，强化校企“双元”育人，开展订单式人才培养。</w:t>
      </w:r>
      <w:r>
        <w:rPr>
          <w:rFonts w:hint="eastAsia" w:ascii="仿宋_GB2312" w:eastAsia="仿宋_GB2312"/>
          <w:sz w:val="32"/>
          <w:szCs w:val="32"/>
        </w:rPr>
        <w:t>积极引进国</w:t>
      </w:r>
      <w:r>
        <w:rPr>
          <w:rFonts w:hint="eastAsia" w:ascii="仿宋_GB2312" w:hAnsi="仿宋_GB2312" w:eastAsia="仿宋_GB2312" w:cs="仿宋_GB2312"/>
          <w:sz w:val="32"/>
          <w:szCs w:val="32"/>
        </w:rPr>
        <w:t>际职业资格证书，建设高水平教育培训中心，打造国际职业教育资格证书考试中心与认定中心。鼓励龙头领军企业举办职业教育，组建产教融合联盟，建立教师到企业实践和企业人才到学校兼职任教常态化机制。深化新时期产业工人队伍改革，激发技术工人积极性，建设高素质劳动大军。到2025年，培育100家以上产教融合型试点企业。</w:t>
      </w:r>
    </w:p>
    <w:p>
      <w:pPr>
        <w:overflowPunct w:val="0"/>
        <w:spacing w:line="580" w:lineRule="exact"/>
      </w:pPr>
    </w:p>
    <w:p>
      <w:pPr>
        <w:overflowPunct w:val="0"/>
        <w:spacing w:line="580" w:lineRule="exact"/>
        <w:jc w:val="center"/>
        <w:outlineLvl w:val="2"/>
        <w:rPr>
          <w:rFonts w:ascii="楷体" w:hAnsi="楷体" w:eastAsia="楷体" w:cs="楷体"/>
          <w:b/>
          <w:bCs/>
          <w:sz w:val="32"/>
          <w:szCs w:val="32"/>
        </w:rPr>
      </w:pPr>
      <w:bookmarkStart w:id="3997" w:name="_Toc221"/>
      <w:bookmarkStart w:id="3998" w:name="_Toc30906"/>
      <w:bookmarkStart w:id="3999" w:name="_Toc17150"/>
      <w:bookmarkStart w:id="4000" w:name="_Toc25934"/>
      <w:bookmarkStart w:id="4001" w:name="_Toc9275"/>
      <w:bookmarkStart w:id="4002" w:name="_Toc1999"/>
      <w:bookmarkStart w:id="4003" w:name="_Toc28258"/>
      <w:bookmarkStart w:id="4004" w:name="_Toc12232"/>
      <w:bookmarkStart w:id="4005" w:name="_Toc19289"/>
      <w:bookmarkStart w:id="4006" w:name="_Toc20292"/>
      <w:bookmarkStart w:id="4007" w:name="_Toc25833"/>
      <w:bookmarkStart w:id="4008" w:name="_Toc20459"/>
      <w:bookmarkStart w:id="4009" w:name="_Toc31906"/>
      <w:bookmarkStart w:id="4010" w:name="_Toc29342"/>
      <w:bookmarkStart w:id="4011" w:name="_Toc26167"/>
      <w:bookmarkStart w:id="4012" w:name="_Toc7840"/>
      <w:bookmarkStart w:id="4013" w:name="_Toc549"/>
      <w:bookmarkStart w:id="4014" w:name="_Toc30473"/>
      <w:bookmarkStart w:id="4015" w:name="_Toc375"/>
      <w:bookmarkStart w:id="4016" w:name="_Toc19694"/>
      <w:r>
        <w:rPr>
          <w:rFonts w:hint="eastAsia" w:ascii="楷体" w:hAnsi="楷体" w:eastAsia="楷体" w:cs="楷体"/>
          <w:b/>
          <w:bCs/>
          <w:sz w:val="32"/>
          <w:szCs w:val="32"/>
        </w:rPr>
        <w:t>第四节 提升终身教育服务能力</w:t>
      </w:r>
      <w:bookmarkEnd w:id="3997"/>
      <w:bookmarkEnd w:id="3998"/>
      <w:bookmarkEnd w:id="3999"/>
      <w:bookmarkEnd w:id="4000"/>
    </w:p>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p>
      <w:pPr>
        <w:overflowPunct w:val="0"/>
        <w:spacing w:after="78" w:afterLines="25" w:line="580" w:lineRule="exact"/>
        <w:ind w:firstLine="646"/>
        <w:rPr>
          <w:rFonts w:ascii="宋体" w:hAnsi="宋体" w:cs="宋体"/>
          <w:b/>
          <w:bCs/>
          <w:color w:val="000000"/>
          <w:sz w:val="24"/>
        </w:rPr>
      </w:pPr>
      <w:r>
        <w:rPr>
          <w:rFonts w:hint="eastAsia" w:ascii="仿宋_GB2312" w:eastAsia="仿宋_GB2312"/>
          <w:b/>
          <w:sz w:val="32"/>
          <w:szCs w:val="32"/>
        </w:rPr>
        <w:t>推进学历教育、继续教育与职业培训融通。</w:t>
      </w:r>
      <w:r>
        <w:rPr>
          <w:rFonts w:hint="eastAsia" w:ascii="仿宋_GB2312" w:eastAsia="仿宋_GB2312"/>
          <w:sz w:val="32"/>
          <w:szCs w:val="32"/>
        </w:rPr>
        <w:t>探索国家学分银行落地机制，实现普通教育、职业教育、继续教育间学习成果的认定、学分积累和转换。</w:t>
      </w:r>
      <w:r>
        <w:rPr>
          <w:rFonts w:hint="eastAsia" w:ascii="仿宋_GB2312" w:eastAsia="仿宋_GB2312"/>
          <w:sz w:val="32"/>
          <w:szCs w:val="32"/>
          <w:lang w:val="zh-TW"/>
        </w:rPr>
        <w:t>健全终身职业技能培训制度，支持社会培训机构发展，</w:t>
      </w:r>
      <w:r>
        <w:rPr>
          <w:rFonts w:hint="eastAsia" w:ascii="仿宋_GB2312" w:eastAsia="仿宋_GB2312"/>
          <w:sz w:val="32"/>
          <w:szCs w:val="32"/>
        </w:rPr>
        <w:t>鼓励具有资质的企事业单位内训师、社会工作者等加入培训师资队伍。</w:t>
      </w:r>
    </w:p>
    <w:p>
      <w:pPr>
        <w:pStyle w:val="34"/>
        <w:overflowPunct w:val="0"/>
        <w:spacing w:after="78" w:afterLines="25" w:line="580" w:lineRule="exact"/>
        <w:ind w:firstLine="643"/>
        <w:rPr>
          <w:rFonts w:ascii="仿宋_GB2312" w:eastAsia="仿宋_GB2312"/>
          <w:sz w:val="32"/>
          <w:szCs w:val="32"/>
          <w:lang w:val="zh-TW"/>
        </w:rPr>
      </w:pPr>
      <w:r>
        <w:rPr>
          <w:rFonts w:hint="eastAsia" w:ascii="仿宋_GB2312" w:eastAsia="仿宋_GB2312"/>
          <w:b/>
          <w:bCs/>
          <w:sz w:val="32"/>
          <w:szCs w:val="32"/>
        </w:rPr>
        <w:t>深化家庭教育改革创新</w:t>
      </w:r>
      <w:r>
        <w:rPr>
          <w:rFonts w:hint="eastAsia" w:ascii="仿宋_GB2312" w:eastAsia="仿宋_GB2312"/>
          <w:b/>
          <w:sz w:val="32"/>
          <w:szCs w:val="32"/>
        </w:rPr>
        <w:t>。</w:t>
      </w:r>
      <w:r>
        <w:rPr>
          <w:rFonts w:hint="eastAsia" w:ascii="仿宋_GB2312" w:eastAsia="仿宋_GB2312"/>
          <w:sz w:val="32"/>
          <w:szCs w:val="32"/>
        </w:rPr>
        <w:t>加快家庭教育立法，制定家庭教育指导大纲和家庭教育指导服务标准。打造一批家庭教育活动品牌，建立家长教育课程合格证书制度和学习积分奖励办法。建设专业的家庭教育指导工作队伍。将家庭教育指导服务纳入社区教育工作内容。</w:t>
      </w:r>
    </w:p>
    <w:p>
      <w:pPr>
        <w:overflowPunct w:val="0"/>
        <w:spacing w:after="78" w:afterLines="25" w:line="580" w:lineRule="exact"/>
        <w:ind w:firstLine="646"/>
        <w:rPr>
          <w:rFonts w:ascii="仿宋_GB2312" w:eastAsia="仿宋_GB2312"/>
          <w:bCs/>
          <w:sz w:val="32"/>
          <w:szCs w:val="32"/>
        </w:rPr>
      </w:pPr>
      <w:r>
        <w:rPr>
          <w:rFonts w:hint="eastAsia" w:ascii="仿宋_GB2312" w:eastAsia="仿宋_GB2312"/>
          <w:b/>
          <w:sz w:val="32"/>
          <w:szCs w:val="32"/>
        </w:rPr>
        <w:t>加强终身教育平台建设。</w:t>
      </w:r>
      <w:r>
        <w:rPr>
          <w:rFonts w:hint="eastAsia" w:ascii="仿宋_GB2312" w:eastAsia="仿宋_GB2312"/>
          <w:bCs/>
          <w:sz w:val="32"/>
          <w:szCs w:val="32"/>
        </w:rPr>
        <w:t>支持深圳开放大学开展融合发展试点，办好深圳老年大学、深圳长青老龄大学，</w:t>
      </w:r>
      <w:r>
        <w:rPr>
          <w:rFonts w:hint="eastAsia" w:ascii="仿宋_GB2312" w:eastAsia="仿宋_GB2312"/>
          <w:sz w:val="32"/>
          <w:szCs w:val="32"/>
        </w:rPr>
        <w:t>加快</w:t>
      </w:r>
      <w:r>
        <w:rPr>
          <w:rFonts w:ascii="仿宋_GB2312" w:eastAsia="仿宋_GB2312"/>
          <w:sz w:val="32"/>
          <w:szCs w:val="32"/>
          <w:lang w:val="zh-TW"/>
        </w:rPr>
        <w:t>创建深圳粤菜学院</w:t>
      </w:r>
      <w:r>
        <w:rPr>
          <w:rFonts w:hint="eastAsia" w:ascii="仿宋_GB2312" w:eastAsia="仿宋_GB2312"/>
          <w:bCs/>
          <w:sz w:val="32"/>
          <w:szCs w:val="32"/>
        </w:rPr>
        <w:t>。推行“互联网</w:t>
      </w:r>
      <w:r>
        <w:rPr>
          <w:rFonts w:ascii="仿宋_GB2312" w:eastAsia="仿宋_GB2312"/>
          <w:bCs/>
          <w:sz w:val="32"/>
          <w:szCs w:val="32"/>
        </w:rPr>
        <w:t>+</w:t>
      </w:r>
      <w:r>
        <w:rPr>
          <w:rFonts w:hint="eastAsia" w:ascii="仿宋_GB2312" w:eastAsia="仿宋_GB2312"/>
          <w:bCs/>
          <w:sz w:val="32"/>
          <w:szCs w:val="32"/>
        </w:rPr>
        <w:t>培训”模式，</w:t>
      </w:r>
      <w:r>
        <w:rPr>
          <w:rFonts w:ascii="仿宋_GB2312" w:eastAsia="仿宋_GB2312"/>
          <w:bCs/>
          <w:sz w:val="32"/>
          <w:szCs w:val="32"/>
          <w:lang w:val="zh-TW"/>
        </w:rPr>
        <w:t>推进终身教育教学资源库共建共享，</w:t>
      </w:r>
      <w:r>
        <w:rPr>
          <w:rFonts w:hint="eastAsia" w:ascii="仿宋_GB2312" w:eastAsia="仿宋_GB2312"/>
          <w:bCs/>
          <w:sz w:val="32"/>
          <w:szCs w:val="32"/>
        </w:rPr>
        <w:t>扩大社区教育供给，创造人人皆学、处处能学、时时可学的环境，让人人都有人生出彩的机会。</w:t>
      </w:r>
    </w:p>
    <w:p>
      <w:pPr>
        <w:jc w:val="left"/>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br w:type="page"/>
      </w:r>
    </w:p>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p>
      <w:pPr>
        <w:spacing w:line="600" w:lineRule="exact"/>
        <w:jc w:val="center"/>
        <w:outlineLvl w:val="1"/>
        <w:rPr>
          <w:rFonts w:ascii="黑体" w:hAnsi="黑体" w:eastAsia="黑体" w:cs="黑体"/>
          <w:sz w:val="36"/>
          <w:szCs w:val="36"/>
        </w:rPr>
      </w:pPr>
      <w:bookmarkStart w:id="4017" w:name="_Toc487"/>
      <w:bookmarkStart w:id="4018" w:name="_Toc22664"/>
      <w:bookmarkStart w:id="4019" w:name="_Toc7191"/>
      <w:bookmarkStart w:id="4020" w:name="_Toc5871"/>
      <w:bookmarkStart w:id="4021" w:name="_Toc20149"/>
      <w:bookmarkStart w:id="4022" w:name="_Toc27804"/>
      <w:bookmarkStart w:id="4023" w:name="_Toc18632"/>
      <w:bookmarkStart w:id="4024" w:name="_Toc32640"/>
      <w:bookmarkStart w:id="4025" w:name="_Toc11318"/>
      <w:bookmarkStart w:id="4026" w:name="_Toc15991"/>
      <w:bookmarkStart w:id="4027" w:name="_Toc25938"/>
      <w:bookmarkStart w:id="4028" w:name="_Toc24287"/>
      <w:bookmarkStart w:id="4029" w:name="_Toc21282"/>
      <w:bookmarkStart w:id="4030" w:name="_Toc5659"/>
      <w:bookmarkStart w:id="4031" w:name="_Toc20655"/>
      <w:bookmarkStart w:id="4032" w:name="_Toc17406"/>
      <w:bookmarkStart w:id="4033" w:name="_Toc28086"/>
      <w:bookmarkStart w:id="4034" w:name="_Toc19795"/>
      <w:bookmarkStart w:id="4035" w:name="_Toc15053"/>
      <w:bookmarkStart w:id="4036" w:name="_Toc16058"/>
      <w:bookmarkStart w:id="4037" w:name="_Toc28108"/>
      <w:bookmarkStart w:id="4038" w:name="_Toc14280"/>
      <w:bookmarkStart w:id="4039" w:name="_Toc17393"/>
      <w:bookmarkStart w:id="4040" w:name="_Toc30236"/>
      <w:bookmarkStart w:id="4041" w:name="_Toc12776"/>
      <w:bookmarkStart w:id="4042" w:name="_Toc14826"/>
      <w:bookmarkStart w:id="4043" w:name="_Toc1104"/>
      <w:bookmarkStart w:id="4044" w:name="_Toc19491"/>
      <w:bookmarkStart w:id="4045" w:name="_Toc15909"/>
      <w:bookmarkStart w:id="4046" w:name="_Toc14405"/>
      <w:bookmarkStart w:id="4047" w:name="_Toc18126"/>
      <w:bookmarkStart w:id="4048" w:name="_Toc20782"/>
      <w:bookmarkStart w:id="4049" w:name="_Toc25267"/>
      <w:bookmarkStart w:id="4050" w:name="_Toc7876"/>
      <w:bookmarkStart w:id="4051" w:name="_Toc16253"/>
      <w:bookmarkStart w:id="4052" w:name="_Toc12914"/>
      <w:bookmarkStart w:id="4053" w:name="_Toc26686"/>
      <w:bookmarkStart w:id="4054" w:name="_Toc22986"/>
      <w:bookmarkStart w:id="4055" w:name="_Toc31314"/>
      <w:bookmarkStart w:id="4056" w:name="_Toc7393"/>
      <w:bookmarkStart w:id="4057" w:name="_Toc331"/>
      <w:bookmarkStart w:id="4058" w:name="_Toc24680"/>
      <w:bookmarkStart w:id="4059" w:name="_Toc9865"/>
      <w:bookmarkStart w:id="4060" w:name="_Toc5282"/>
      <w:bookmarkStart w:id="4061" w:name="_Toc24058"/>
      <w:bookmarkStart w:id="4062" w:name="_Toc10675"/>
      <w:bookmarkStart w:id="4063" w:name="_Toc714"/>
      <w:bookmarkStart w:id="4064" w:name="_Toc31457"/>
      <w:bookmarkStart w:id="4065" w:name="_Toc9724"/>
      <w:bookmarkStart w:id="4066" w:name="_Toc14178"/>
      <w:bookmarkStart w:id="4067" w:name="_Toc28490"/>
      <w:bookmarkStart w:id="4068" w:name="_Toc31375"/>
      <w:r>
        <w:rPr>
          <w:rFonts w:hint="eastAsia" w:ascii="黑体" w:hAnsi="黑体" w:eastAsia="黑体" w:cs="黑体"/>
          <w:sz w:val="36"/>
          <w:szCs w:val="36"/>
        </w:rPr>
        <w:t>第十三章 打造健康深圳</w:t>
      </w:r>
      <w:bookmarkEnd w:id="4017"/>
      <w:bookmarkEnd w:id="4018"/>
      <w:bookmarkEnd w:id="4019"/>
      <w:bookmarkEnd w:id="4020"/>
    </w:p>
    <w:p>
      <w:pPr>
        <w:pStyle w:val="14"/>
        <w:spacing w:line="600" w:lineRule="exact"/>
      </w:pPr>
    </w:p>
    <w:p>
      <w:pPr>
        <w:overflowPunct w:val="0"/>
        <w:spacing w:line="600" w:lineRule="exact"/>
        <w:ind w:firstLine="640" w:firstLineChars="200"/>
        <w:rPr>
          <w:rFonts w:ascii="仿宋_GB2312" w:eastAsia="仿宋_GB2312"/>
          <w:sz w:val="32"/>
          <w:szCs w:val="32"/>
        </w:rPr>
      </w:pPr>
      <w:r>
        <w:rPr>
          <w:rFonts w:hint="eastAsia" w:ascii="黑体" w:hAnsi="黑体" w:eastAsia="仿宋_GB2312" w:cs="仿宋_GB2312"/>
          <w:color w:val="000000"/>
          <w:sz w:val="32"/>
          <w:szCs w:val="32"/>
        </w:rPr>
        <w:t>把保障人民健康放在优先发展的战略位置，</w:t>
      </w:r>
      <w:r>
        <w:rPr>
          <w:rFonts w:hint="eastAsia" w:ascii="仿宋_GB2312" w:eastAsia="仿宋_GB2312"/>
          <w:sz w:val="32"/>
          <w:szCs w:val="32"/>
        </w:rPr>
        <w:t>深入推进健康深圳建设，深化医药卫生体制改革，加快医学科技创新，织牢公共卫生防护网，打造卫生健康事业创新发展高地，为市民提供全方位全周期健康服务。</w:t>
      </w:r>
    </w:p>
    <w:p>
      <w:pPr>
        <w:spacing w:line="600" w:lineRule="exact"/>
        <w:jc w:val="left"/>
      </w:pPr>
    </w:p>
    <w:p>
      <w:pPr>
        <w:overflowPunct w:val="0"/>
        <w:spacing w:line="600" w:lineRule="exact"/>
        <w:jc w:val="center"/>
        <w:outlineLvl w:val="2"/>
        <w:rPr>
          <w:rFonts w:ascii="楷体" w:hAnsi="楷体" w:eastAsia="楷体" w:cs="楷体"/>
          <w:b/>
          <w:bCs/>
          <w:sz w:val="32"/>
          <w:szCs w:val="32"/>
        </w:rPr>
      </w:pPr>
      <w:bookmarkStart w:id="4069" w:name="_Toc26700"/>
      <w:bookmarkStart w:id="4070" w:name="_Toc19550"/>
      <w:bookmarkStart w:id="4071" w:name="_Toc15682"/>
      <w:bookmarkStart w:id="4072" w:name="_Toc11265"/>
      <w:r>
        <w:rPr>
          <w:rFonts w:hint="eastAsia" w:ascii="楷体" w:hAnsi="楷体" w:eastAsia="楷体" w:cs="楷体"/>
          <w:b/>
          <w:bCs/>
          <w:sz w:val="32"/>
          <w:szCs w:val="32"/>
        </w:rPr>
        <w:t>第一节 构建国际一流的整合型优质医疗服务体系</w:t>
      </w:r>
      <w:bookmarkEnd w:id="4069"/>
      <w:bookmarkEnd w:id="4070"/>
      <w:bookmarkEnd w:id="4071"/>
      <w:bookmarkEnd w:id="4072"/>
    </w:p>
    <w:p>
      <w:pPr>
        <w:overflowPunct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rPr>
        <w:t>扩大优质医疗资源供给。</w:t>
      </w:r>
      <w:r>
        <w:rPr>
          <w:rFonts w:hint="eastAsia" w:ascii="仿宋_GB2312" w:hAnsi="仿宋_GB2312" w:eastAsia="仿宋_GB2312" w:cs="仿宋_GB2312"/>
          <w:sz w:val="32"/>
        </w:rPr>
        <w:t>优化提升“医疗卫生三名工程”，</w:t>
      </w:r>
      <w:r>
        <w:rPr>
          <w:rFonts w:hint="eastAsia" w:ascii="仿宋_GB2312" w:hAnsi="仿宋_GB2312" w:eastAsia="仿宋_GB2312" w:cs="仿宋_GB2312"/>
          <w:sz w:val="32"/>
          <w:szCs w:val="32"/>
        </w:rPr>
        <w:t>实施三甲医院倍增计划，推进高水平医院建设</w:t>
      </w:r>
      <w:r>
        <w:rPr>
          <w:rFonts w:hint="eastAsia" w:ascii="仿宋_GB2312" w:hAnsi="仿宋_GB2312" w:eastAsia="仿宋_GB2312" w:cs="仿宋_GB2312"/>
          <w:sz w:val="32"/>
        </w:rPr>
        <w:t>，完善医学重点学科建设体系，</w:t>
      </w:r>
      <w:r>
        <w:rPr>
          <w:rFonts w:hint="eastAsia" w:ascii="仿宋_GB2312" w:hAnsi="仿宋_GB2312" w:eastAsia="仿宋_GB2312" w:cs="仿宋_GB2312"/>
          <w:sz w:val="32"/>
          <w:szCs w:val="32"/>
        </w:rPr>
        <w:t>谋划建设国际医疗城。</w:t>
      </w:r>
      <w:r>
        <w:rPr>
          <w:rFonts w:hint="eastAsia" w:ascii="仿宋_GB2312" w:hAnsi="仿宋_GB2312" w:eastAsia="仿宋_GB2312" w:cs="仿宋_GB2312"/>
          <w:sz w:val="32"/>
        </w:rPr>
        <w:t>在肿瘤、心血管等领域建设国内一流、国际领先的专科疾病防治中心，在儿科、精神卫生、神经外科、口腔、眼科等领域建设辐射粤港澳大湾区的区域医疗中心。</w:t>
      </w:r>
      <w:r>
        <w:rPr>
          <w:rFonts w:hint="eastAsia" w:ascii="仿宋_GB2312" w:hAnsi="仿宋_GB2312" w:eastAsia="仿宋_GB2312" w:cs="仿宋_GB2312"/>
          <w:sz w:val="32"/>
          <w:szCs w:val="32"/>
        </w:rPr>
        <w:t>推动医疗资源均衡布局</w:t>
      </w:r>
      <w:r>
        <w:rPr>
          <w:rFonts w:hint="eastAsia" w:ascii="仿宋_GB2312" w:hAnsi="仿宋_GB2312" w:eastAsia="仿宋_GB2312" w:cs="仿宋_GB2312"/>
          <w:sz w:val="32"/>
        </w:rPr>
        <w:t>，加快推进新华医院、吉华医院、大鹏人民医院、第二儿童医院、市第二人民医院改扩建等重大医疗卫生项目建设。推动社康服务体系扩容提质，推进社区医院建设，大力发展家庭病床、个性化家庭医生签约服务。到2025年，</w:t>
      </w:r>
      <w:r>
        <w:rPr>
          <w:rFonts w:hint="eastAsia" w:ascii="仿宋_GB2312" w:hAnsi="仿宋_GB2312" w:eastAsia="仿宋_GB2312" w:cs="仿宋_GB2312"/>
          <w:sz w:val="32"/>
          <w:szCs w:val="32"/>
        </w:rPr>
        <w:t>三甲医院达30家，新增国家（或达到国家水平）临床重点专科5个以上，每千人病床数达4.5张。</w:t>
      </w:r>
    </w:p>
    <w:p>
      <w:pPr>
        <w:overflowPunct w:val="0"/>
        <w:spacing w:line="600" w:lineRule="exact"/>
        <w:ind w:firstLine="643" w:firstLineChars="200"/>
        <w:rPr>
          <w:rFonts w:ascii="仿宋_GB2312" w:hAnsi="仿宋_GB2312" w:eastAsia="仿宋_GB2312" w:cs="仿宋_GB2312"/>
          <w:sz w:val="32"/>
          <w:szCs w:val="32"/>
          <w:lang w:bidi="ar"/>
        </w:rPr>
      </w:pPr>
      <w:r>
        <w:rPr>
          <w:rFonts w:hint="eastAsia" w:ascii="仿宋_GB2312" w:hAnsi="仿宋_GB2312" w:eastAsia="仿宋_GB2312" w:cs="仿宋_GB2312"/>
          <w:b/>
          <w:bCs/>
          <w:sz w:val="32"/>
          <w:szCs w:val="32"/>
        </w:rPr>
        <w:t>完善整合型医疗服务体系运作机制。</w:t>
      </w:r>
      <w:r>
        <w:rPr>
          <w:rFonts w:hint="eastAsia" w:ascii="仿宋_GB2312" w:hAnsi="仿宋_GB2312" w:eastAsia="仿宋_GB2312" w:cs="仿宋_GB2312"/>
          <w:sz w:val="32"/>
        </w:rPr>
        <w:t>完善区域医疗中心与基层医疗集团间的分工协作、业务指导、双向转诊机制，构建医教研防管协作共同体。加强区域医疗中心对基层医疗集团、</w:t>
      </w:r>
      <w:r>
        <w:rPr>
          <w:rFonts w:hint="eastAsia" w:ascii="仿宋_GB2312" w:hAnsi="仿宋_GB2312" w:eastAsia="仿宋_GB2312" w:cs="仿宋_GB2312"/>
          <w:sz w:val="32"/>
          <w:szCs w:val="32"/>
          <w:lang w:bidi="ar"/>
        </w:rPr>
        <w:t>社区健康服务机构</w:t>
      </w:r>
      <w:r>
        <w:rPr>
          <w:rFonts w:hint="eastAsia" w:ascii="仿宋_GB2312" w:hAnsi="仿宋_GB2312" w:eastAsia="仿宋_GB2312" w:cs="仿宋_GB2312"/>
          <w:sz w:val="32"/>
        </w:rPr>
        <w:t>的技术指导，</w:t>
      </w:r>
      <w:r>
        <w:rPr>
          <w:rFonts w:hint="eastAsia" w:ascii="仿宋_GB2312" w:hAnsi="仿宋_GB2312" w:eastAsia="仿宋_GB2312" w:cs="仿宋_GB2312"/>
          <w:sz w:val="32"/>
          <w:szCs w:val="32"/>
          <w:lang w:bidi="ar"/>
        </w:rPr>
        <w:t>协同开展疾病预防、临床诊疗、健康管理、康复照护和安宁疗护，普及疾病筛查技术。</w:t>
      </w:r>
      <w:r>
        <w:rPr>
          <w:rFonts w:hint="eastAsia" w:ascii="仿宋_GB2312" w:hAnsi="仿宋_GB2312" w:eastAsia="仿宋_GB2312" w:cs="仿宋_GB2312"/>
          <w:sz w:val="32"/>
          <w:lang w:bidi="ar"/>
        </w:rPr>
        <w:t>完善基层医疗集团管理体制和运行机制，</w:t>
      </w:r>
      <w:r>
        <w:rPr>
          <w:rFonts w:hint="eastAsia" w:ascii="仿宋_GB2312" w:hAnsi="仿宋_GB2312" w:eastAsia="仿宋_GB2312" w:cs="仿宋_GB2312"/>
          <w:sz w:val="32"/>
        </w:rPr>
        <w:t>构建</w:t>
      </w:r>
      <w:r>
        <w:rPr>
          <w:rFonts w:hint="eastAsia" w:ascii="仿宋_GB2312" w:hAnsi="仿宋_GB2312" w:eastAsia="仿宋_GB2312" w:cs="仿宋_GB2312"/>
          <w:sz w:val="32"/>
          <w:lang w:bidi="ar"/>
        </w:rPr>
        <w:t>医院与社康融合发展的医疗卫生服务体系、医疗与预防融合发展的学科建设体系、全科与专科协同发展的分级诊疗体系。到2025年，</w:t>
      </w:r>
      <w:r>
        <w:rPr>
          <w:rFonts w:hint="eastAsia" w:ascii="仿宋_GB2312" w:hAnsi="仿宋_GB2312" w:eastAsia="仿宋_GB2312" w:cs="仿宋_GB2312"/>
          <w:sz w:val="32"/>
          <w:szCs w:val="32"/>
        </w:rPr>
        <w:t>社区健康服务机构总数达到900家以上。</w:t>
      </w:r>
    </w:p>
    <w:p>
      <w:pPr>
        <w:overflowPunct w:val="0"/>
        <w:spacing w:line="600" w:lineRule="exact"/>
        <w:ind w:firstLine="643" w:firstLineChars="200"/>
        <w:rPr>
          <w:rFonts w:ascii="仿宋_GB2312" w:hAnsi="仿宋_GB2312" w:eastAsia="仿宋_GB2312" w:cs="仿宋_GB2312"/>
          <w:sz w:val="32"/>
        </w:rPr>
      </w:pPr>
      <w:r>
        <w:rPr>
          <w:rFonts w:hint="eastAsia" w:ascii="仿宋_GB2312" w:hAnsi="仿宋_GB2312" w:eastAsia="仿宋_GB2312" w:cs="仿宋_GB2312"/>
          <w:b/>
          <w:bCs/>
          <w:sz w:val="32"/>
        </w:rPr>
        <w:t>完善多元化办医格局。</w:t>
      </w:r>
      <w:r>
        <w:rPr>
          <w:rFonts w:hint="eastAsia" w:ascii="仿宋_GB2312" w:hAnsi="仿宋_GB2312" w:eastAsia="仿宋_GB2312" w:cs="仿宋_GB2312"/>
          <w:sz w:val="32"/>
        </w:rPr>
        <w:t>制定推动社会办医高质量发展政策，鼓励和引导社会资本举办高水平综合医院、特色专科医疗机构和社康中心。支持社会资本投资健康产业，举办医学检验、医学影像、健康体检等服务机构。</w:t>
      </w:r>
      <w:r>
        <w:rPr>
          <w:rFonts w:hint="eastAsia" w:ascii="仿宋_GB2312" w:eastAsia="仿宋_GB2312"/>
          <w:sz w:val="32"/>
          <w:szCs w:val="32"/>
        </w:rPr>
        <w:t>完善医师多点执业政策，促进医师多点执业有序规范开展。积极引导社会资本设立高端医疗机构或参与国际化医</w:t>
      </w:r>
      <w:r>
        <w:rPr>
          <w:rFonts w:hint="eastAsia" w:ascii="仿宋_GB2312" w:hAnsi="仿宋_GB2312" w:eastAsia="仿宋_GB2312" w:cs="仿宋_GB2312"/>
          <w:sz w:val="32"/>
        </w:rPr>
        <w:t>院管理，推进互联网医疗服务发展，为市民和外籍人士提供多层次</w:t>
      </w:r>
      <w:r>
        <w:rPr>
          <w:rFonts w:hint="eastAsia" w:ascii="仿宋_GB2312" w:eastAsia="仿宋_GB2312"/>
          <w:sz w:val="32"/>
          <w:szCs w:val="32"/>
        </w:rPr>
        <w:t>、多样化的优质医疗健康服务。</w:t>
      </w:r>
      <w:r>
        <w:rPr>
          <w:rFonts w:hint="eastAsia" w:ascii="仿宋_GB2312" w:hAnsi="仿宋_GB2312" w:eastAsia="仿宋_GB2312" w:cs="仿宋_GB2312"/>
          <w:sz w:val="32"/>
        </w:rPr>
        <w:t>加强医疗卫生行业综合监管，保障市民就医安全。</w:t>
      </w:r>
    </w:p>
    <w:p>
      <w:pPr>
        <w:overflowPunct w:val="0"/>
        <w:spacing w:line="600" w:lineRule="exact"/>
        <w:ind w:firstLine="640" w:firstLineChars="200"/>
        <w:rPr>
          <w:rFonts w:ascii="仿宋_GB2312" w:eastAsia="仿宋_GB2312"/>
          <w:sz w:val="32"/>
          <w:szCs w:val="32"/>
        </w:rPr>
      </w:pPr>
    </w:p>
    <w:p>
      <w:pPr>
        <w:spacing w:line="600" w:lineRule="exact"/>
        <w:jc w:val="center"/>
        <w:outlineLvl w:val="2"/>
        <w:rPr>
          <w:rFonts w:ascii="楷体" w:hAnsi="楷体" w:eastAsia="楷体" w:cs="楷体"/>
          <w:b/>
          <w:bCs/>
          <w:sz w:val="32"/>
          <w:szCs w:val="32"/>
        </w:rPr>
      </w:pPr>
      <w:bookmarkStart w:id="4073" w:name="_Toc29841"/>
      <w:bookmarkStart w:id="4074" w:name="_Toc19695"/>
      <w:bookmarkStart w:id="4075" w:name="_Toc1763"/>
      <w:bookmarkStart w:id="4076" w:name="_Toc30639"/>
      <w:r>
        <w:rPr>
          <w:rFonts w:hint="eastAsia" w:ascii="楷体" w:hAnsi="楷体" w:eastAsia="楷体" w:cs="楷体"/>
          <w:b/>
          <w:bCs/>
          <w:sz w:val="32"/>
          <w:szCs w:val="32"/>
        </w:rPr>
        <w:t>第二节 加强全民健康管理</w:t>
      </w:r>
      <w:bookmarkEnd w:id="4073"/>
      <w:bookmarkEnd w:id="4074"/>
      <w:bookmarkEnd w:id="4075"/>
      <w:bookmarkEnd w:id="4076"/>
    </w:p>
    <w:p>
      <w:pPr>
        <w:spacing w:line="600" w:lineRule="exact"/>
        <w:ind w:firstLine="643" w:firstLineChars="200"/>
        <w:rPr>
          <w:rFonts w:ascii="仿宋_GB2312" w:hAnsi="Arial" w:eastAsia="仿宋_GB2312" w:cs="Arial"/>
          <w:kern w:val="0"/>
          <w:sz w:val="32"/>
          <w:szCs w:val="32"/>
        </w:rPr>
      </w:pPr>
      <w:r>
        <w:rPr>
          <w:rFonts w:hint="eastAsia" w:ascii="仿宋_GB2312" w:hAnsi="仿宋_GB2312" w:eastAsia="仿宋_GB2312" w:cs="仿宋_GB2312"/>
          <w:b/>
          <w:bCs/>
          <w:sz w:val="32"/>
          <w:szCs w:val="32"/>
          <w:lang w:bidi="ar"/>
        </w:rPr>
        <w:t>提升居民全生命周期健康水平</w:t>
      </w:r>
      <w:r>
        <w:rPr>
          <w:rFonts w:hint="eastAsia" w:eastAsia="仿宋_GB2312"/>
          <w:b/>
          <w:bCs/>
          <w:sz w:val="32"/>
          <w:szCs w:val="32"/>
        </w:rPr>
        <w:t>。</w:t>
      </w:r>
      <w:r>
        <w:rPr>
          <w:rFonts w:hint="eastAsia" w:eastAsia="仿宋_GB2312"/>
          <w:sz w:val="32"/>
          <w:szCs w:val="32"/>
        </w:rPr>
        <w:t>建立健康影响评估制度，推进健康社区、健康企业、健康校园建设。健全居民健康管理制度、体检制度和电子健康档案管理制度，推进居民健康管理服务网络化、契约化、清单化、智能化。</w:t>
      </w:r>
      <w:r>
        <w:rPr>
          <w:rFonts w:hint="eastAsia" w:ascii="仿宋_GB2312" w:eastAsia="仿宋_GB2312"/>
          <w:bCs/>
          <w:sz w:val="32"/>
          <w:szCs w:val="32"/>
        </w:rPr>
        <w:t>推进居民健康素养监测与干预，</w:t>
      </w:r>
      <w:r>
        <w:rPr>
          <w:rFonts w:hint="eastAsia" w:ascii="仿宋_GB2312" w:eastAsia="仿宋_GB2312"/>
          <w:sz w:val="32"/>
          <w:szCs w:val="32"/>
        </w:rPr>
        <w:t>开展合理膳食、适量运动、戒烟限酒和心理平衡等健康教育示范项目</w:t>
      </w:r>
      <w:r>
        <w:rPr>
          <w:rFonts w:hint="eastAsia" w:ascii="仿宋_GB2312" w:hAnsi="仿宋_GB2312" w:eastAsia="仿宋_GB2312" w:cs="仿宋_GB2312"/>
          <w:sz w:val="32"/>
          <w:szCs w:val="32"/>
          <w:lang w:bidi="ar"/>
        </w:rPr>
        <w:t>。</w:t>
      </w:r>
      <w:r>
        <w:rPr>
          <w:rFonts w:hint="eastAsia" w:ascii="仿宋_GB2312" w:hAnsi="Arial" w:eastAsia="仿宋_GB2312" w:cs="Arial"/>
          <w:kern w:val="0"/>
          <w:sz w:val="32"/>
          <w:szCs w:val="32"/>
        </w:rPr>
        <w:t>完善社会心理服务体系，探索社会心理疏导和心理危机干预有效模式。完善创伤与急救体系、儿童伤害防治体系。</w:t>
      </w:r>
    </w:p>
    <w:p>
      <w:pPr>
        <w:spacing w:line="600" w:lineRule="exact"/>
        <w:ind w:firstLine="643" w:firstLineChars="200"/>
        <w:rPr>
          <w:rFonts w:ascii="仿宋_GB2312" w:eastAsia="仿宋_GB2312"/>
          <w:sz w:val="32"/>
          <w:szCs w:val="32"/>
        </w:rPr>
      </w:pPr>
      <w:r>
        <w:rPr>
          <w:rFonts w:hint="eastAsia" w:eastAsia="仿宋_GB2312"/>
          <w:b/>
          <w:bCs/>
          <w:sz w:val="32"/>
          <w:szCs w:val="32"/>
        </w:rPr>
        <w:t>大力开展爱国卫生运动。</w:t>
      </w:r>
      <w:r>
        <w:rPr>
          <w:rFonts w:hint="eastAsia" w:eastAsia="仿宋_GB2312"/>
          <w:sz w:val="32"/>
          <w:szCs w:val="32"/>
        </w:rPr>
        <w:t>推动爱国卫生运动从环境卫生治理向全面健康管理转变，完善爱国卫生工作常态化机制，</w:t>
      </w:r>
      <w:r>
        <w:rPr>
          <w:rFonts w:hint="eastAsia" w:ascii="仿宋_GB2312" w:eastAsia="仿宋_GB2312"/>
          <w:sz w:val="32"/>
          <w:szCs w:val="32"/>
        </w:rPr>
        <w:t>开展“深圳健康活动月”“爱国卫生月”活动。完善对病媒防制有偿服务机构的事中事后监管，督促落实以环境卫生治理、清除蚊蝇鼠蟑等孳生地为主的综合性病媒生物防制措施。倡导文明健康的生活方式，开展健康知识普及，树立良好饮食风尚。</w:t>
      </w:r>
    </w:p>
    <w:p>
      <w:pPr>
        <w:spacing w:line="600" w:lineRule="exact"/>
        <w:ind w:firstLine="643" w:firstLineChars="200"/>
        <w:rPr>
          <w:rFonts w:ascii="仿宋_GB2312" w:eastAsia="仿宋_GB2312"/>
          <w:sz w:val="32"/>
          <w:szCs w:val="32"/>
        </w:rPr>
      </w:pPr>
      <w:r>
        <w:rPr>
          <w:rFonts w:hint="eastAsia" w:eastAsia="仿宋_GB2312"/>
          <w:b/>
          <w:bCs/>
          <w:sz w:val="32"/>
          <w:szCs w:val="32"/>
        </w:rPr>
        <w:t>加强重点人群健康管理。</w:t>
      </w:r>
      <w:r>
        <w:rPr>
          <w:rFonts w:hint="eastAsia" w:ascii="仿宋_GB2312" w:eastAsia="仿宋_GB2312"/>
          <w:sz w:val="32"/>
          <w:szCs w:val="32"/>
        </w:rPr>
        <w:t>完善“一老一小”服务体系，推动学生健康体检进社康，加强近视、龋齿、脊柱侧弯、肥胖等常见疾病监测和干预管理。加强婚前、孕前、孕产期、新生儿期和儿童期保健工作，落实常住人口适龄妇女宫颈癌、乳腺癌免费筛查等惠民举措。建立常态化精神卫生综合管理机制，提高精神障碍患者医疗保障水平。建立健全上下联动、分工合作、医防融合的重大疾病防治体系，加强心脑血管疾病、癌症、慢性呼吸系统疾病、糖尿病等慢性病防治，到2025年，高血压和2型糖尿病患者规范管理率达到65%。</w:t>
      </w:r>
    </w:p>
    <w:p>
      <w:pPr>
        <w:pStyle w:val="34"/>
        <w:spacing w:line="600" w:lineRule="exact"/>
        <w:ind w:firstLine="480"/>
      </w:pPr>
    </w:p>
    <w:p>
      <w:pPr>
        <w:overflowPunct w:val="0"/>
        <w:spacing w:line="600" w:lineRule="exact"/>
        <w:jc w:val="center"/>
        <w:outlineLvl w:val="2"/>
        <w:rPr>
          <w:rFonts w:ascii="楷体" w:hAnsi="楷体" w:eastAsia="楷体" w:cs="楷体"/>
          <w:b/>
          <w:bCs/>
          <w:sz w:val="32"/>
          <w:szCs w:val="32"/>
        </w:rPr>
      </w:pPr>
      <w:bookmarkStart w:id="4077" w:name="_Toc17803"/>
      <w:bookmarkStart w:id="4078" w:name="_Toc21540"/>
      <w:bookmarkStart w:id="4079" w:name="_Toc2537"/>
      <w:bookmarkStart w:id="4080" w:name="_Toc6561"/>
      <w:r>
        <w:rPr>
          <w:rFonts w:hint="eastAsia" w:ascii="楷体" w:hAnsi="楷体" w:eastAsia="楷体" w:cs="楷体"/>
          <w:b/>
          <w:bCs/>
          <w:sz w:val="32"/>
          <w:szCs w:val="32"/>
        </w:rPr>
        <w:t>第三节 完善突发公共卫生应急管理体系</w:t>
      </w:r>
      <w:bookmarkEnd w:id="4077"/>
      <w:bookmarkEnd w:id="4078"/>
      <w:bookmarkEnd w:id="4079"/>
      <w:bookmarkEnd w:id="4080"/>
    </w:p>
    <w:p>
      <w:pPr>
        <w:snapToGrid w:val="0"/>
        <w:spacing w:line="600" w:lineRule="exact"/>
        <w:ind w:firstLine="643" w:firstLineChars="200"/>
        <w:rPr>
          <w:rFonts w:ascii="仿宋_GB2312" w:hAnsi="仿宋" w:eastAsia="仿宋_GB2312"/>
          <w:bCs/>
          <w:sz w:val="32"/>
          <w:szCs w:val="32"/>
        </w:rPr>
      </w:pPr>
      <w:r>
        <w:rPr>
          <w:rFonts w:hint="eastAsia" w:eastAsia="仿宋_GB2312"/>
          <w:b/>
          <w:bCs/>
          <w:sz w:val="32"/>
        </w:rPr>
        <w:t>完善平战结合的疫情防控救治体系。</w:t>
      </w:r>
      <w:r>
        <w:rPr>
          <w:rFonts w:hint="eastAsia" w:ascii="仿宋_GB2312" w:eastAsia="仿宋_GB2312"/>
          <w:sz w:val="32"/>
        </w:rPr>
        <w:t>改革完善</w:t>
      </w:r>
      <w:r>
        <w:rPr>
          <w:rFonts w:hint="eastAsia" w:ascii="仿宋_GB2312" w:hAnsi="黑体" w:eastAsia="仿宋_GB2312"/>
          <w:sz w:val="32"/>
          <w:szCs w:val="32"/>
        </w:rPr>
        <w:t>疾病预防控制体系</w:t>
      </w:r>
      <w:r>
        <w:rPr>
          <w:rFonts w:hint="eastAsia" w:ascii="仿宋_GB2312" w:eastAsia="仿宋_GB2312"/>
          <w:sz w:val="32"/>
        </w:rPr>
        <w:t>，加强公共卫生学院和人才队伍建设，建设一</w:t>
      </w:r>
      <w:r>
        <w:rPr>
          <w:rFonts w:hint="eastAsia" w:ascii="仿宋_GB2312" w:hAnsi="黑体" w:eastAsia="仿宋_GB2312"/>
          <w:sz w:val="32"/>
          <w:szCs w:val="32"/>
        </w:rPr>
        <w:t>流疾病预防控制机构</w:t>
      </w:r>
      <w:r>
        <w:rPr>
          <w:rFonts w:hint="eastAsia" w:ascii="仿宋_GB2312" w:hAnsi="仿宋" w:eastAsia="仿宋_GB2312"/>
          <w:bCs/>
          <w:sz w:val="32"/>
          <w:szCs w:val="32"/>
        </w:rPr>
        <w:t>。完善监测哨点网络和预警体系，提升公共卫生风险评估和早期预警能力。</w:t>
      </w:r>
      <w:r>
        <w:rPr>
          <w:rFonts w:hint="eastAsia" w:ascii="仿宋_GB2312" w:hAnsi="仿宋" w:eastAsia="仿宋_GB2312" w:cs="仿宋"/>
          <w:sz w:val="32"/>
          <w:szCs w:val="32"/>
        </w:rPr>
        <w:t>健全重大疫情救治体</w:t>
      </w:r>
      <w:r>
        <w:rPr>
          <w:rFonts w:hint="eastAsia" w:ascii="仿宋_GB2312" w:hAnsi="仿宋" w:eastAsia="仿宋_GB2312"/>
          <w:bCs/>
          <w:sz w:val="32"/>
          <w:szCs w:val="32"/>
        </w:rPr>
        <w:t>系，坚持早发现、早诊断、早隔离、早治疗，坚持集中患者、集中资源、集中专家、集中收治，推进“传染病区域医疗中心＋传染病后备医院＋发热门诊网络医院”为主体的传染病救治医院网络体系建设，新建“平战结合”型传染病后备医院。完善中西医联合救治机制，充分发挥中医药在传染病防治中的作用。</w:t>
      </w:r>
    </w:p>
    <w:p>
      <w:pPr>
        <w:snapToGrid w:val="0"/>
        <w:spacing w:line="600" w:lineRule="exact"/>
        <w:ind w:firstLine="643" w:firstLineChars="200"/>
        <w:rPr>
          <w:rFonts w:ascii="仿宋_GB2312" w:eastAsia="仿宋_GB2312"/>
          <w:sz w:val="32"/>
          <w:szCs w:val="32"/>
        </w:rPr>
      </w:pPr>
      <w:r>
        <w:rPr>
          <w:rFonts w:hint="eastAsia" w:eastAsia="仿宋_GB2312"/>
          <w:b/>
          <w:bCs/>
          <w:sz w:val="32"/>
        </w:rPr>
        <w:t>健全重大疫情防控体制机制。</w:t>
      </w:r>
      <w:r>
        <w:rPr>
          <w:rFonts w:hint="eastAsia" w:ascii="仿宋_GB2312" w:eastAsia="仿宋_GB2312"/>
          <w:sz w:val="32"/>
          <w:szCs w:val="32"/>
        </w:rPr>
        <w:t>完善社会力量参与机制，</w:t>
      </w:r>
      <w:r>
        <w:rPr>
          <w:rFonts w:hint="eastAsia" w:ascii="仿宋_GB2312" w:hAnsi="仿宋_GB2312" w:eastAsia="仿宋_GB2312" w:cs="仿宋_GB2312"/>
          <w:sz w:val="32"/>
          <w:szCs w:val="32"/>
        </w:rPr>
        <w:t>全面落实属地、部门、单位、个人“</w:t>
      </w:r>
      <w:r>
        <w:rPr>
          <w:rFonts w:hint="eastAsia" w:eastAsia="仿宋_GB2312"/>
          <w:sz w:val="32"/>
          <w:szCs w:val="32"/>
        </w:rPr>
        <w:t>四方责任”，构建党委领导、政府负责、社会参与的公共卫生社会治理格</w:t>
      </w:r>
      <w:r>
        <w:rPr>
          <w:rFonts w:hint="eastAsia" w:ascii="仿宋_GB2312" w:eastAsia="仿宋_GB2312"/>
          <w:sz w:val="32"/>
          <w:szCs w:val="32"/>
        </w:rPr>
        <w:t>局。完善公共卫生风险研判、评估、决策、防控协同机制，落实以属地管理为主的公共卫生风险排查、信息报告、先期处置责任，建设公共卫生信息平台。完善社区工作者、社康医务人员和社区警务室“三位一体”的社区小区联防联控机制，健全突发公共卫生事件信息发布制度。加强应急演练和应急预案管理，健全及时发现、快速处置、精准管控、有效救治机制。深化与港澳公共卫生管理合作，推动共建突发公共卫生事件联防联控机制。</w:t>
      </w:r>
    </w:p>
    <w:p>
      <w:pPr>
        <w:pStyle w:val="53"/>
        <w:snapToGrid w:val="0"/>
        <w:spacing w:line="600" w:lineRule="exact"/>
        <w:ind w:firstLine="643" w:firstLineChars="200"/>
        <w:rPr>
          <w:rFonts w:ascii="仿宋_GB2312" w:eastAsia="仿宋_GB2312"/>
          <w:sz w:val="32"/>
          <w:szCs w:val="32"/>
        </w:rPr>
      </w:pPr>
      <w:r>
        <w:rPr>
          <w:rFonts w:hint="eastAsia" w:ascii="仿宋_GB2312" w:hAnsi="仿宋" w:eastAsia="仿宋_GB2312"/>
          <w:b/>
          <w:sz w:val="32"/>
          <w:szCs w:val="32"/>
        </w:rPr>
        <w:t>强化公共卫生应急保障能力。</w:t>
      </w:r>
      <w:r>
        <w:rPr>
          <w:rFonts w:hint="eastAsia" w:ascii="仿宋_GB2312" w:hAnsi="仿宋" w:eastAsia="仿宋_GB2312"/>
          <w:bCs/>
          <w:sz w:val="32"/>
          <w:szCs w:val="32"/>
        </w:rPr>
        <w:t>制定突发公共卫生事件应急物资储备目录，完善突发公共卫生事件应急物资储备机制，</w:t>
      </w:r>
      <w:r>
        <w:rPr>
          <w:rFonts w:hint="eastAsia" w:ascii="仿宋_GB2312" w:eastAsia="仿宋_GB2312"/>
          <w:sz w:val="32"/>
          <w:szCs w:val="32"/>
        </w:rPr>
        <w:t>建设公共卫生战略物资储备基地，制定大型公共建筑转换为应急设施的预案</w:t>
      </w:r>
      <w:r>
        <w:rPr>
          <w:rFonts w:hint="eastAsia" w:ascii="仿宋_GB2312" w:eastAsia="仿宋_GB2312"/>
          <w:color w:val="000000" w:themeColor="text1"/>
          <w:sz w:val="32"/>
          <w:szCs w:val="32"/>
          <w14:textFill>
            <w14:solidFill>
              <w14:schemeClr w14:val="tx1"/>
            </w14:solidFill>
          </w14:textFill>
        </w:rPr>
        <w:t>。加大突发公共卫生事件应对和公共卫生治理科研投入，</w:t>
      </w:r>
      <w:r>
        <w:rPr>
          <w:rFonts w:hint="eastAsia" w:ascii="仿宋_GB2312" w:eastAsia="仿宋_GB2312"/>
          <w:sz w:val="32"/>
          <w:szCs w:val="32"/>
        </w:rPr>
        <w:t>提升公共卫生科技攻关能力，高标准建设国家感染性疾病临床医学研究中心、高致病性病原微生物研究中心、疫苗临床试验中心等基础平台。完善重大疫情医疗救治费用保障机制，探索建立重大疫情特殊群体、特定疾病医药豁免制度。</w:t>
      </w:r>
    </w:p>
    <w:p>
      <w:pPr>
        <w:pStyle w:val="14"/>
        <w:spacing w:line="600" w:lineRule="exact"/>
      </w:pPr>
    </w:p>
    <w:p>
      <w:pPr>
        <w:overflowPunct w:val="0"/>
        <w:spacing w:line="600" w:lineRule="exact"/>
        <w:jc w:val="center"/>
        <w:outlineLvl w:val="2"/>
        <w:rPr>
          <w:rFonts w:ascii="楷体" w:hAnsi="楷体" w:eastAsia="楷体" w:cs="楷体"/>
          <w:b/>
          <w:bCs/>
          <w:sz w:val="32"/>
          <w:szCs w:val="32"/>
        </w:rPr>
      </w:pPr>
      <w:bookmarkStart w:id="4081" w:name="_Toc18515"/>
      <w:bookmarkStart w:id="4082" w:name="_Toc15368"/>
      <w:bookmarkStart w:id="4083" w:name="_Toc21285"/>
      <w:bookmarkStart w:id="4084" w:name="_Toc22483"/>
      <w:r>
        <w:rPr>
          <w:rFonts w:hint="eastAsia" w:ascii="楷体" w:hAnsi="楷体" w:eastAsia="楷体" w:cs="楷体"/>
          <w:b/>
          <w:bCs/>
          <w:sz w:val="32"/>
          <w:szCs w:val="32"/>
        </w:rPr>
        <w:t>第四节 深化医药卫生体制机制改革</w:t>
      </w:r>
      <w:bookmarkEnd w:id="4081"/>
      <w:bookmarkEnd w:id="4082"/>
      <w:bookmarkEnd w:id="4083"/>
      <w:bookmarkEnd w:id="4084"/>
    </w:p>
    <w:p>
      <w:pPr>
        <w:overflowPunct w:val="0"/>
        <w:spacing w:line="600" w:lineRule="exact"/>
        <w:ind w:firstLine="643" w:firstLineChars="200"/>
        <w:rPr>
          <w:rFonts w:ascii="仿宋_GB2312" w:eastAsia="仿宋_GB2312"/>
          <w:sz w:val="32"/>
          <w:szCs w:val="32"/>
        </w:rPr>
      </w:pPr>
      <w:r>
        <w:rPr>
          <w:rFonts w:hint="eastAsia" w:eastAsia="仿宋_GB2312"/>
          <w:b/>
          <w:bCs/>
          <w:sz w:val="32"/>
          <w:szCs w:val="32"/>
        </w:rPr>
        <w:t>构建与国际接轨的医疗卫生体制机制。</w:t>
      </w:r>
      <w:r>
        <w:rPr>
          <w:rFonts w:hint="eastAsia" w:eastAsia="仿宋_GB2312"/>
          <w:sz w:val="32"/>
          <w:szCs w:val="32"/>
        </w:rPr>
        <w:t>建成全新机制的医学科学院，完善临床研究体系，建设医学科技创新高地。</w:t>
      </w:r>
      <w:r>
        <w:rPr>
          <w:rFonts w:hint="eastAsia" w:ascii="仿宋_GB2312" w:eastAsia="仿宋_GB2312"/>
          <w:sz w:val="32"/>
          <w:szCs w:val="32"/>
        </w:rPr>
        <w:t>建立与国际接轨的医学人才培养、医院评审认证体系，推进医疗服务跨境衔接。先行先试国际前沿医疗技术，开展国际前沿药品临床应用。规划建设一批具有较强服务竞争力的国际医院、名医诊疗中心、国际化社康机构。建立境外医师职级与内地职称衔接认定规则和特殊医疗技术职业资质行业认定规则，推动港澳医疗专业技术人员在深多点执业。推动医保跨境结算，探索建立国际医疗急救转运体系，建设国际医学创新示范区。</w:t>
      </w:r>
    </w:p>
    <w:p>
      <w:pPr>
        <w:overflowPunct w:val="0"/>
        <w:spacing w:line="600" w:lineRule="exact"/>
        <w:ind w:firstLine="643" w:firstLineChars="200"/>
        <w:rPr>
          <w:rFonts w:eastAsia="仿宋_GB2312"/>
          <w:sz w:val="32"/>
          <w:szCs w:val="32"/>
        </w:rPr>
      </w:pPr>
      <w:r>
        <w:rPr>
          <w:rFonts w:hint="eastAsia" w:eastAsia="仿宋_GB2312"/>
          <w:b/>
          <w:bCs/>
          <w:sz w:val="32"/>
          <w:szCs w:val="32"/>
        </w:rPr>
        <w:t>建立健全现代医院管理制度。</w:t>
      </w:r>
      <w:r>
        <w:rPr>
          <w:rFonts w:hint="eastAsia" w:eastAsia="仿宋_GB2312"/>
          <w:sz w:val="32"/>
          <w:szCs w:val="32"/>
        </w:rPr>
        <w:t>深化公立医院综合改革，构建维护公益性、调动积极性、保障可持续的公立医院运行新机制。制定公立医院管理办法，完善医院章程和核心管理制度。建立分级分类精准高效的财政补助机制，推进公立医院人事薪酬制度改革。</w:t>
      </w:r>
      <w:r>
        <w:rPr>
          <w:rFonts w:hint="eastAsia" w:ascii="仿宋_GB2312" w:eastAsia="仿宋_GB2312"/>
          <w:sz w:val="32"/>
          <w:szCs w:val="32"/>
        </w:rPr>
        <w:t>完善公立医院全面预算管理、全成本核算制度，加强公立医院绩效考核。</w:t>
      </w:r>
    </w:p>
    <w:p>
      <w:pPr>
        <w:overflowPunct w:val="0"/>
        <w:spacing w:line="600" w:lineRule="exact"/>
        <w:ind w:firstLine="643" w:firstLineChars="200"/>
        <w:rPr>
          <w:rFonts w:ascii="仿宋_GB2312" w:hAnsi="仿宋_GB2312" w:eastAsia="仿宋_GB2312" w:cs="仿宋_GB2312"/>
          <w:sz w:val="32"/>
          <w:szCs w:val="32"/>
        </w:rPr>
      </w:pPr>
      <w:r>
        <w:rPr>
          <w:rFonts w:hint="eastAsia" w:eastAsia="仿宋_GB2312"/>
          <w:b/>
          <w:bCs/>
          <w:sz w:val="32"/>
          <w:szCs w:val="32"/>
        </w:rPr>
        <w:t>构建以促进健康为导向的创新型医保制度。</w:t>
      </w:r>
      <w:r>
        <w:rPr>
          <w:rFonts w:hint="eastAsia" w:ascii="仿宋_GB2312" w:eastAsia="仿宋_GB2312"/>
          <w:bCs/>
          <w:sz w:val="32"/>
          <w:szCs w:val="32"/>
        </w:rPr>
        <w:t>全面实施医疗保障综合改革，</w:t>
      </w:r>
      <w:r>
        <w:rPr>
          <w:rFonts w:hint="eastAsia" w:ascii="仿宋_GB2312" w:hAnsi="仿宋_GB2312" w:eastAsia="仿宋_GB2312" w:cs="仿宋_GB2312"/>
          <w:sz w:val="32"/>
          <w:szCs w:val="32"/>
        </w:rPr>
        <w:t>加快建成充分保障人民健康、更具公平性和可持续发展能力的多层次医疗保障体系。深化医保支付方式改革，健全按病种、病组为主的多元复合式医保支付制度。建立与基层医疗集团改革发展、分级诊疗、家庭医生签约服务、慢病健康管理相衔接的医保支付激励约束机制。完善医疗服务价格动态调整机制，</w:t>
      </w:r>
      <w:r>
        <w:rPr>
          <w:rFonts w:hint="eastAsia" w:ascii="仿宋_GB2312" w:hAnsi="仿宋_GB2312" w:eastAsia="仿宋_GB2312" w:cs="仿宋_GB2312"/>
          <w:color w:val="000000"/>
          <w:sz w:val="32"/>
          <w:szCs w:val="32"/>
        </w:rPr>
        <w:t>深化药品、医用耗材集中采购改革，</w:t>
      </w:r>
      <w:r>
        <w:rPr>
          <w:rFonts w:hint="eastAsia" w:ascii="仿宋_GB2312" w:hAnsi="仿宋_GB2312" w:eastAsia="仿宋_GB2312" w:cs="仿宋_GB2312"/>
          <w:sz w:val="32"/>
          <w:szCs w:val="32"/>
        </w:rPr>
        <w:t>完善医用耗材阳光交易平台。</w:t>
      </w:r>
    </w:p>
    <w:p>
      <w:pPr>
        <w:overflowPunct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深化</w:t>
      </w:r>
      <w:r>
        <w:rPr>
          <w:rFonts w:hint="eastAsia" w:eastAsia="仿宋_GB2312"/>
          <w:b/>
          <w:bCs/>
          <w:sz w:val="32"/>
          <w:szCs w:val="32"/>
        </w:rPr>
        <w:t>国家中医药综合改革试验区建设。</w:t>
      </w:r>
      <w:r>
        <w:rPr>
          <w:rFonts w:hint="eastAsia" w:eastAsia="仿宋_GB2312"/>
          <w:sz w:val="32"/>
          <w:szCs w:val="32"/>
        </w:rPr>
        <w:t>完善中医医疗机构职能、评审评价、考核评价体系以及药剂应用、医保支</w:t>
      </w:r>
      <w:r>
        <w:rPr>
          <w:rFonts w:hint="eastAsia" w:ascii="仿宋_GB2312" w:hAnsi="仿宋_GB2312" w:eastAsia="仿宋_GB2312" w:cs="仿宋_GB2312"/>
          <w:sz w:val="32"/>
          <w:szCs w:val="32"/>
        </w:rPr>
        <w:t>付、医疗收费政策体系，打造“国际中医药港”。完善中医药服务体系，推进高水平中医院、国家区域性中医（肝病）诊疗中心建设，加快建设一批名中医工作室。构建中医药治未病服务网络，将治未病服务融入重大疾病防治、居民健康管理等服务内容。</w:t>
      </w:r>
      <w:r>
        <w:rPr>
          <w:rFonts w:hint="eastAsia" w:ascii="仿宋_GB2312" w:hAnsi="仿宋_GB2312" w:eastAsia="仿宋_GB2312" w:cs="仿宋_GB2312"/>
          <w:sz w:val="32"/>
          <w:szCs w:val="32"/>
        </w:rPr>
        <w:br w:type="page"/>
      </w:r>
    </w:p>
    <w:p>
      <w:pPr>
        <w:spacing w:line="600" w:lineRule="exact"/>
        <w:jc w:val="center"/>
        <w:outlineLvl w:val="1"/>
        <w:rPr>
          <w:rFonts w:ascii="黑体" w:hAnsi="黑体" w:eastAsia="黑体" w:cs="黑体"/>
          <w:sz w:val="36"/>
          <w:szCs w:val="36"/>
        </w:rPr>
      </w:pPr>
      <w:bookmarkStart w:id="4085" w:name="_Toc9412"/>
      <w:bookmarkStart w:id="4086" w:name="_Toc23476"/>
      <w:bookmarkStart w:id="4087" w:name="_Toc29819"/>
      <w:bookmarkStart w:id="4088" w:name="_Toc13968"/>
      <w:r>
        <w:rPr>
          <w:rFonts w:hint="eastAsia" w:ascii="黑体" w:hAnsi="黑体" w:eastAsia="黑体" w:cs="黑体"/>
          <w:sz w:val="36"/>
          <w:szCs w:val="36"/>
        </w:rPr>
        <w:t>第十四章 全面提升社会保障和社会治理水平</w:t>
      </w:r>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85"/>
      <w:bookmarkEnd w:id="4086"/>
      <w:bookmarkEnd w:id="4087"/>
      <w:bookmarkEnd w:id="4088"/>
    </w:p>
    <w:p>
      <w:pPr>
        <w:pStyle w:val="14"/>
        <w:spacing w:line="600" w:lineRule="exact"/>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加强普惠性、基础性、兜底性民生建设，健全有利于更充分更高质量就业的促进机制，稳步提高居民收入，完善公共住房体系，建成全覆盖可持续的社会保障体系，</w:t>
      </w:r>
      <w:r>
        <w:rPr>
          <w:rFonts w:hint="eastAsia" w:ascii="仿宋_GB2312" w:eastAsia="仿宋_GB2312"/>
          <w:sz w:val="32"/>
          <w:szCs w:val="32"/>
        </w:rPr>
        <w:t>加强和创新社会治理</w:t>
      </w:r>
      <w:r>
        <w:rPr>
          <w:rFonts w:hint="eastAsia" w:ascii="仿宋_GB2312" w:hAnsi="仿宋_GB2312" w:eastAsia="仿宋_GB2312" w:cs="仿宋_GB2312"/>
          <w:sz w:val="32"/>
          <w:szCs w:val="32"/>
        </w:rPr>
        <w:t>，让市民生活更幸福、城市未来更美好。</w:t>
      </w:r>
    </w:p>
    <w:p>
      <w:pPr>
        <w:pStyle w:val="14"/>
        <w:spacing w:line="600" w:lineRule="exact"/>
      </w:pPr>
    </w:p>
    <w:p>
      <w:pPr>
        <w:spacing w:line="600" w:lineRule="exact"/>
        <w:jc w:val="center"/>
        <w:outlineLvl w:val="2"/>
        <w:rPr>
          <w:rFonts w:ascii="楷体" w:hAnsi="楷体" w:eastAsia="楷体" w:cs="楷体"/>
          <w:b/>
          <w:bCs/>
          <w:sz w:val="32"/>
          <w:szCs w:val="32"/>
        </w:rPr>
      </w:pPr>
      <w:bookmarkStart w:id="4089" w:name="_Toc9855"/>
      <w:bookmarkStart w:id="4090" w:name="_Toc14633"/>
      <w:bookmarkStart w:id="4091" w:name="_Toc4941"/>
      <w:bookmarkStart w:id="4092" w:name="_Toc27009"/>
      <w:bookmarkStart w:id="4093" w:name="_Toc9218"/>
      <w:bookmarkStart w:id="4094" w:name="_Toc17621"/>
      <w:bookmarkStart w:id="4095" w:name="_Toc29281"/>
      <w:bookmarkStart w:id="4096" w:name="_Toc12646"/>
      <w:bookmarkStart w:id="4097" w:name="_Toc21232"/>
      <w:bookmarkStart w:id="4098" w:name="_Toc21187"/>
      <w:bookmarkStart w:id="4099" w:name="_Toc31647"/>
      <w:bookmarkStart w:id="4100" w:name="_Toc5581"/>
      <w:bookmarkStart w:id="4101" w:name="_Toc6903"/>
      <w:bookmarkStart w:id="4102" w:name="_Toc13436"/>
      <w:bookmarkStart w:id="4103" w:name="_Toc25986"/>
      <w:bookmarkStart w:id="4104" w:name="_Toc21722"/>
      <w:bookmarkStart w:id="4105" w:name="_Toc3909"/>
      <w:bookmarkStart w:id="4106" w:name="_Toc29297"/>
      <w:bookmarkStart w:id="4107" w:name="_Toc12196"/>
      <w:bookmarkStart w:id="4108" w:name="_Toc7292"/>
      <w:bookmarkStart w:id="4109" w:name="_Toc3451"/>
      <w:bookmarkStart w:id="4110" w:name="_Toc9715"/>
      <w:bookmarkStart w:id="4111" w:name="_Toc26252"/>
      <w:bookmarkStart w:id="4112" w:name="_Toc26708"/>
      <w:bookmarkStart w:id="4113" w:name="_Toc6772"/>
      <w:bookmarkStart w:id="4114" w:name="_Toc14376"/>
      <w:bookmarkStart w:id="4115" w:name="_Toc28314"/>
      <w:bookmarkStart w:id="4116" w:name="_Toc1846"/>
      <w:bookmarkStart w:id="4117" w:name="_Toc12787"/>
      <w:bookmarkStart w:id="4118" w:name="_Toc17608"/>
      <w:bookmarkStart w:id="4119" w:name="_Toc12530"/>
      <w:bookmarkStart w:id="4120" w:name="_Toc15184"/>
      <w:bookmarkStart w:id="4121" w:name="_Toc31691"/>
      <w:bookmarkStart w:id="4122" w:name="_Toc26325"/>
      <w:bookmarkStart w:id="4123" w:name="_Toc15978"/>
      <w:bookmarkStart w:id="4124" w:name="_Toc10263"/>
      <w:bookmarkStart w:id="4125" w:name="_Toc21896"/>
      <w:bookmarkStart w:id="4126" w:name="_Toc21506"/>
      <w:bookmarkStart w:id="4127" w:name="_Toc10161"/>
      <w:bookmarkStart w:id="4128" w:name="_Toc4589"/>
      <w:bookmarkStart w:id="4129" w:name="_Toc6669"/>
      <w:bookmarkStart w:id="4130" w:name="_Toc21607"/>
      <w:bookmarkStart w:id="4131" w:name="_Toc14438"/>
      <w:bookmarkStart w:id="4132" w:name="_Toc26517"/>
      <w:bookmarkStart w:id="4133" w:name="_Toc15520"/>
      <w:bookmarkStart w:id="4134" w:name="_Toc32134"/>
      <w:bookmarkStart w:id="4135" w:name="_Toc17330"/>
      <w:bookmarkStart w:id="4136" w:name="_Toc32349"/>
      <w:bookmarkStart w:id="4137" w:name="_Toc6657"/>
      <w:bookmarkStart w:id="4138" w:name="_Toc4689"/>
      <w:bookmarkStart w:id="4139" w:name="_Toc5736"/>
      <w:bookmarkStart w:id="4140" w:name="_Toc10493"/>
      <w:r>
        <w:rPr>
          <w:rFonts w:hint="eastAsia" w:ascii="楷体" w:hAnsi="楷体" w:eastAsia="楷体" w:cs="楷体"/>
          <w:b/>
          <w:bCs/>
          <w:sz w:val="32"/>
          <w:szCs w:val="32"/>
        </w:rPr>
        <w:t>第一节 提高就业质量和收入水平</w:t>
      </w:r>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强化就业优先政策。</w:t>
      </w:r>
      <w:r>
        <w:rPr>
          <w:rFonts w:hint="eastAsia" w:ascii="仿宋_GB2312" w:hAnsi="仿宋_GB2312" w:eastAsia="仿宋_GB2312" w:cs="仿宋_GB2312"/>
          <w:sz w:val="32"/>
          <w:szCs w:val="32"/>
        </w:rPr>
        <w:t>千方百计稳定和扩大就业，坚持经济发展就业导向，扩大就业容量，提升就业质量，促进充分就业，保障劳动者待遇和权益。完善促进创业带动就业、多渠道灵活就业的保障制度，建设一批创业孵化基地，支持和规范发展新就业形态。健全就业需求调查和失业监测预警机制，促进高校毕业生、退役军人、下岗失业人员、异地务工人员等重点群体稳定就业，强化困难群体就业援助。完善公共就业服务体系，大力推进“粤菜师傅”“广东技工”“南粤家政”三项工程。到2025年，新增就业60万人。</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深化收入分配制度改革。</w:t>
      </w:r>
      <w:r>
        <w:rPr>
          <w:rFonts w:hint="eastAsia" w:ascii="仿宋_GB2312" w:hAnsi="仿宋_GB2312" w:eastAsia="仿宋_GB2312" w:cs="仿宋_GB2312"/>
          <w:sz w:val="32"/>
          <w:szCs w:val="32"/>
        </w:rPr>
        <w:t>坚持按劳分配为主体、多种分配方式并存，提高劳动报酬在初次分配中的比重，健全工资合理增长机制，优化最低工资标准调整、企业薪酬调查和信息发布制度，着力提高低收入群体收入，扩大中等收入群体。健全以增加知识价值为导向的收入分配政策，充分体现技术、知识、管理、数据等要素的价值。健全以税收、社会保障、转移支付等为主要手段的再分配调节机制，合理调节过高收入，取缔非法收入。发挥第三次分配作用，加快发展慈善事业，改善收入和财富分配格局。</w:t>
      </w:r>
    </w:p>
    <w:p>
      <w:pPr>
        <w:pStyle w:val="14"/>
        <w:spacing w:line="600" w:lineRule="exact"/>
      </w:pPr>
    </w:p>
    <w:p>
      <w:pPr>
        <w:spacing w:line="600" w:lineRule="exact"/>
        <w:jc w:val="center"/>
        <w:outlineLvl w:val="2"/>
        <w:rPr>
          <w:rFonts w:ascii="楷体" w:hAnsi="楷体" w:eastAsia="楷体" w:cs="楷体"/>
          <w:b/>
          <w:bCs/>
          <w:sz w:val="32"/>
          <w:szCs w:val="32"/>
        </w:rPr>
      </w:pPr>
      <w:bookmarkStart w:id="4141" w:name="_Toc24316"/>
      <w:bookmarkStart w:id="4142" w:name="_Toc23205"/>
      <w:bookmarkStart w:id="4143" w:name="_Toc18128"/>
      <w:bookmarkStart w:id="4144" w:name="_Toc11582"/>
      <w:bookmarkStart w:id="4145" w:name="_Toc7852"/>
      <w:bookmarkStart w:id="4146" w:name="_Toc24830"/>
      <w:bookmarkStart w:id="4147" w:name="_Toc7070"/>
      <w:bookmarkStart w:id="4148" w:name="_Toc24264"/>
      <w:bookmarkStart w:id="4149" w:name="_Toc14450"/>
      <w:bookmarkStart w:id="4150" w:name="_Toc31274"/>
      <w:bookmarkStart w:id="4151" w:name="_Toc23197"/>
      <w:bookmarkStart w:id="4152" w:name="_Toc23460"/>
      <w:bookmarkStart w:id="4153" w:name="_Toc11392"/>
      <w:bookmarkStart w:id="4154" w:name="_Toc27742"/>
      <w:bookmarkStart w:id="4155" w:name="_Toc28631"/>
      <w:bookmarkStart w:id="4156" w:name="_Toc13747"/>
      <w:bookmarkStart w:id="4157" w:name="_Toc21543"/>
      <w:bookmarkStart w:id="4158" w:name="_Toc18125"/>
      <w:bookmarkStart w:id="4159" w:name="_Toc31696"/>
      <w:bookmarkStart w:id="4160" w:name="_Toc3906"/>
      <w:bookmarkStart w:id="4161" w:name="_Toc5948"/>
      <w:bookmarkStart w:id="4162" w:name="_Toc29865"/>
      <w:bookmarkStart w:id="4163" w:name="_Toc17108"/>
      <w:bookmarkStart w:id="4164" w:name="_Toc14729"/>
      <w:bookmarkStart w:id="4165" w:name="_Toc31477"/>
      <w:bookmarkStart w:id="4166" w:name="_Toc870"/>
      <w:bookmarkStart w:id="4167" w:name="_Toc16334"/>
      <w:bookmarkStart w:id="4168" w:name="_Toc12691"/>
      <w:bookmarkStart w:id="4169" w:name="_Toc29952"/>
      <w:bookmarkStart w:id="4170" w:name="_Toc20406"/>
      <w:bookmarkStart w:id="4171" w:name="_Toc2673"/>
      <w:bookmarkStart w:id="4172" w:name="_Toc3221"/>
      <w:bookmarkStart w:id="4173" w:name="_Toc4543"/>
      <w:bookmarkStart w:id="4174" w:name="_Toc21041"/>
      <w:bookmarkStart w:id="4175" w:name="_Toc5098"/>
      <w:bookmarkStart w:id="4176" w:name="_Toc15177"/>
      <w:bookmarkStart w:id="4177" w:name="_Toc3164"/>
      <w:bookmarkStart w:id="4178" w:name="_Toc20659"/>
      <w:bookmarkStart w:id="4179" w:name="_Toc28142"/>
      <w:bookmarkStart w:id="4180" w:name="_Toc17307"/>
      <w:bookmarkStart w:id="4181" w:name="_Toc24774"/>
      <w:bookmarkStart w:id="4182" w:name="_Toc2639"/>
      <w:bookmarkStart w:id="4183" w:name="_Toc11947"/>
      <w:bookmarkStart w:id="4184" w:name="_Toc18186"/>
      <w:bookmarkStart w:id="4185" w:name="_Toc26033"/>
      <w:bookmarkStart w:id="4186" w:name="_Toc26255"/>
      <w:bookmarkStart w:id="4187" w:name="_Toc15558"/>
      <w:bookmarkStart w:id="4188" w:name="_Toc29187"/>
      <w:bookmarkStart w:id="4189" w:name="_Toc20610"/>
      <w:bookmarkStart w:id="4190" w:name="_Toc18119"/>
      <w:bookmarkStart w:id="4191" w:name="_Toc30237"/>
      <w:bookmarkStart w:id="4192" w:name="_Toc2300"/>
      <w:r>
        <w:rPr>
          <w:rFonts w:hint="eastAsia" w:ascii="楷体" w:hAnsi="楷体" w:eastAsia="楷体" w:cs="楷体"/>
          <w:b/>
          <w:bCs/>
          <w:sz w:val="32"/>
          <w:szCs w:val="32"/>
        </w:rPr>
        <w:t>第二节 完善住房供应和保障体系</w:t>
      </w:r>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p>
    <w:p>
      <w:pPr>
        <w:pStyle w:val="14"/>
        <w:overflowPunct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深化住房制度改革。</w:t>
      </w:r>
      <w:r>
        <w:rPr>
          <w:rFonts w:hint="eastAsia" w:ascii="仿宋_GB2312" w:hAnsi="仿宋_GB2312" w:eastAsia="仿宋_GB2312" w:cs="仿宋_GB2312"/>
          <w:sz w:val="32"/>
          <w:szCs w:val="32"/>
        </w:rPr>
        <w:t>加快完善</w:t>
      </w:r>
      <w:r>
        <w:rPr>
          <w:rFonts w:ascii="仿宋_GB2312" w:hAnsi="仿宋_GB2312" w:eastAsia="仿宋_GB2312" w:cs="仿宋_GB2312"/>
          <w:sz w:val="32"/>
          <w:szCs w:val="32"/>
        </w:rPr>
        <w:t>住房制度政策法规体系</w:t>
      </w:r>
      <w:r>
        <w:rPr>
          <w:rFonts w:hint="eastAsia" w:ascii="仿宋_GB2312" w:hAnsi="仿宋_GB2312" w:eastAsia="仿宋_GB2312" w:cs="仿宋_GB2312"/>
          <w:sz w:val="32"/>
          <w:szCs w:val="32"/>
        </w:rPr>
        <w:t>，构建多主体供给、多渠道保障、租购并举的住房供应和保障体系。健全公共住房分配管理、封闭流转和各类住房定价机制，完善公共住房事后监管</w:t>
      </w:r>
      <w:bookmarkStart w:id="6059" w:name="_GoBack"/>
      <w:bookmarkEnd w:id="6059"/>
      <w:r>
        <w:rPr>
          <w:rFonts w:hint="eastAsia" w:ascii="仿宋_GB2312" w:hAnsi="仿宋_GB2312" w:eastAsia="仿宋_GB2312" w:cs="仿宋_GB2312"/>
          <w:sz w:val="32"/>
          <w:szCs w:val="32"/>
        </w:rPr>
        <w:t>制度。提高居住用地比例，公共住房用地实行计划单列。</w:t>
      </w:r>
    </w:p>
    <w:p>
      <w:pPr>
        <w:overflowPunct w:val="0"/>
        <w:spacing w:line="600" w:lineRule="exact"/>
        <w:ind w:firstLine="420" w:firstLineChars="200"/>
        <w:rPr>
          <w:rFonts w:ascii="仿宋_GB2312" w:hAnsi="仿宋_GB2312" w:eastAsia="仿宋_GB2312" w:cs="仿宋_GB2312"/>
          <w:sz w:val="32"/>
          <w:szCs w:val="32"/>
        </w:rPr>
      </w:pPr>
      <w:r>
        <w:rPr>
          <w:rFonts w:hint="eastAsia"/>
        </w:rPr>
        <w:t xml:space="preserve">  </w:t>
      </w:r>
      <w:r>
        <w:rPr>
          <w:rFonts w:hint="eastAsia" w:ascii="仿宋_GB2312" w:hAnsi="仿宋_GB2312" w:eastAsia="仿宋_GB2312" w:cs="仿宋_GB2312"/>
          <w:b/>
          <w:bCs/>
          <w:sz w:val="32"/>
          <w:szCs w:val="32"/>
        </w:rPr>
        <w:t>促进房地产市场平稳健康发展。</w:t>
      </w:r>
      <w:r>
        <w:rPr>
          <w:rFonts w:hint="eastAsia" w:ascii="仿宋_GB2312" w:hAnsi="仿宋_GB2312" w:eastAsia="仿宋_GB2312" w:cs="仿宋_GB2312"/>
          <w:sz w:val="32"/>
          <w:szCs w:val="32"/>
        </w:rPr>
        <w:t>坚持“房子是用来住的，不是用来炒的”定位，加强商品住房建设和交易管理，建立二手房合理价格引导机制。建立商品住房用地储备库，加大商品住房供应。规范发展长租房市场，逐步使租购住房在享受公共服务上具有同等权利。推动土地供应向租赁住房建设倾斜，单列租赁住房用地计划，探索利用集体建设用地和企事业单位自有闲置土地建设租赁住房。整顿租赁市场秩序，规范市场行为，对租金水平进行合理调控。</w:t>
      </w:r>
    </w:p>
    <w:p>
      <w:pPr>
        <w:overflowPunct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持续提升住房保障水平。</w:t>
      </w:r>
      <w:r>
        <w:rPr>
          <w:rFonts w:hint="eastAsia" w:ascii="仿宋_GB2312" w:hAnsi="仿宋_GB2312" w:eastAsia="仿宋_GB2312" w:cs="仿宋_GB2312"/>
          <w:sz w:val="32"/>
          <w:szCs w:val="32"/>
        </w:rPr>
        <w:t>突出住房的民生属性，持续开展大规模公共住房建设行动，严格落实公共住房配建政策。</w:t>
      </w:r>
      <w:r>
        <w:rPr>
          <w:rFonts w:hint="eastAsia" w:ascii="仿宋_GB2312" w:hAnsi="仿宋" w:eastAsia="仿宋_GB2312" w:cs="宋体"/>
          <w:kern w:val="0"/>
          <w:sz w:val="32"/>
          <w:szCs w:val="32"/>
        </w:rPr>
        <w:t>创新公共住房建设运营模式，充分调动社会力量参与公共住房建设。</w:t>
      </w:r>
      <w:r>
        <w:rPr>
          <w:rFonts w:hint="eastAsia" w:ascii="仿宋_GB2312" w:hAnsi="仿宋_GB2312" w:eastAsia="仿宋_GB2312" w:cs="仿宋_GB2312"/>
          <w:sz w:val="32"/>
          <w:szCs w:val="32"/>
        </w:rPr>
        <w:t>建立公共住房用地储备库，优先保障公共住房用地供应。建设跨市域的大型安居社区，创新城际住房合作机制。到2025年，建设筹集公共住房40万套。</w:t>
      </w:r>
    </w:p>
    <w:p>
      <w:pPr>
        <w:overflowPunct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全面提升居住品质。</w:t>
      </w:r>
      <w:r>
        <w:rPr>
          <w:rFonts w:hint="eastAsia" w:ascii="仿宋_GB2312" w:hAnsi="仿宋_GB2312" w:eastAsia="仿宋_GB2312" w:cs="仿宋_GB2312"/>
          <w:sz w:val="32"/>
          <w:szCs w:val="32"/>
        </w:rPr>
        <w:t>建立健全经济适用、品质优良、绿色环保的住房标准体系，提升物业现代化管理水平。探索开展出租屋分级分类管理，鼓励城中村规模化租赁，持续改善城中村居住环境和配套服务，将城中村逐步建成管理有序、治安良好、环境优美、开放共享的新型社区，持续发挥城中村作为低成本居住空间和职住平衡稳压器作用。完善居住区周边配套设施，建设综合性社区邻里中心，提升社区共享互动和文化交流活力。深化业主委员会和物业管理机制改革，探索实施楼长制，推进智慧物业建设。</w:t>
      </w:r>
    </w:p>
    <w:p>
      <w:pPr>
        <w:pStyle w:val="14"/>
        <w:spacing w:line="600" w:lineRule="exact"/>
      </w:pPr>
    </w:p>
    <w:p>
      <w:pPr>
        <w:spacing w:line="600" w:lineRule="exact"/>
        <w:jc w:val="center"/>
        <w:outlineLvl w:val="2"/>
        <w:rPr>
          <w:rFonts w:ascii="楷体" w:hAnsi="楷体" w:eastAsia="楷体" w:cs="楷体"/>
          <w:b/>
          <w:bCs/>
          <w:sz w:val="32"/>
          <w:szCs w:val="32"/>
        </w:rPr>
      </w:pPr>
      <w:bookmarkStart w:id="4193" w:name="_Toc13044"/>
      <w:bookmarkStart w:id="4194" w:name="_Toc19752"/>
      <w:bookmarkStart w:id="4195" w:name="_Toc27894"/>
      <w:bookmarkStart w:id="4196" w:name="_Toc5345"/>
      <w:bookmarkStart w:id="4197" w:name="_Toc3433"/>
      <w:bookmarkStart w:id="4198" w:name="_Toc3371"/>
      <w:bookmarkStart w:id="4199" w:name="_Toc31448"/>
      <w:bookmarkStart w:id="4200" w:name="_Toc11129"/>
      <w:bookmarkStart w:id="4201" w:name="_Toc25873"/>
      <w:bookmarkStart w:id="4202" w:name="_Toc30038"/>
      <w:bookmarkStart w:id="4203" w:name="_Toc5465"/>
      <w:bookmarkStart w:id="4204" w:name="_Toc12987"/>
      <w:bookmarkStart w:id="4205" w:name="_Toc16692"/>
      <w:bookmarkStart w:id="4206" w:name="_Toc12026"/>
      <w:bookmarkStart w:id="4207" w:name="_Toc9390"/>
      <w:bookmarkStart w:id="4208" w:name="_Toc2637"/>
      <w:bookmarkStart w:id="4209" w:name="_Toc19425"/>
      <w:bookmarkStart w:id="4210" w:name="_Toc5407"/>
      <w:bookmarkStart w:id="4211" w:name="_Toc31678"/>
      <w:bookmarkStart w:id="4212" w:name="_Toc4000"/>
      <w:bookmarkStart w:id="4213" w:name="_Toc6912"/>
      <w:bookmarkStart w:id="4214" w:name="_Toc3452"/>
      <w:bookmarkStart w:id="4215" w:name="_Toc18912"/>
      <w:bookmarkStart w:id="4216" w:name="_Toc17209"/>
      <w:bookmarkStart w:id="4217" w:name="_Toc26022"/>
      <w:bookmarkStart w:id="4218" w:name="_Toc15389"/>
      <w:bookmarkStart w:id="4219" w:name="_Toc21068"/>
      <w:bookmarkStart w:id="4220" w:name="_Toc3849"/>
      <w:bookmarkStart w:id="4221" w:name="_Toc10157"/>
      <w:bookmarkStart w:id="4222" w:name="_Toc611"/>
      <w:bookmarkStart w:id="4223" w:name="_Toc29018"/>
      <w:bookmarkStart w:id="4224" w:name="_Toc27390"/>
      <w:bookmarkStart w:id="4225" w:name="_Toc21923"/>
      <w:bookmarkStart w:id="4226" w:name="_Toc8585"/>
      <w:bookmarkStart w:id="4227" w:name="_Toc13924"/>
      <w:bookmarkStart w:id="4228" w:name="_Toc20179"/>
      <w:bookmarkStart w:id="4229" w:name="_Toc1384"/>
      <w:bookmarkStart w:id="4230" w:name="_Toc3585"/>
      <w:bookmarkStart w:id="4231" w:name="_Toc7268"/>
      <w:bookmarkStart w:id="4232" w:name="_Toc23789"/>
      <w:bookmarkStart w:id="4233" w:name="_Toc19983"/>
      <w:bookmarkStart w:id="4234" w:name="_Toc28286"/>
      <w:bookmarkStart w:id="4235" w:name="_Toc1721"/>
      <w:bookmarkStart w:id="4236" w:name="_Toc18977"/>
      <w:bookmarkStart w:id="4237" w:name="_Toc24919"/>
      <w:bookmarkStart w:id="4238" w:name="_Toc18245"/>
      <w:bookmarkStart w:id="4239" w:name="_Toc27106"/>
      <w:bookmarkStart w:id="4240" w:name="_Toc13414"/>
      <w:bookmarkStart w:id="4241" w:name="_Toc8127"/>
      <w:bookmarkStart w:id="4242" w:name="_Toc21276"/>
      <w:bookmarkStart w:id="4243" w:name="_Toc31642"/>
      <w:bookmarkStart w:id="4244" w:name="_Toc7931"/>
      <w:r>
        <w:rPr>
          <w:rFonts w:hint="eastAsia" w:ascii="楷体" w:hAnsi="楷体" w:eastAsia="楷体" w:cs="楷体"/>
          <w:b/>
          <w:bCs/>
          <w:sz w:val="32"/>
          <w:szCs w:val="32"/>
        </w:rPr>
        <w:t>第三节 提升社会保障水平</w:t>
      </w:r>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p>
    <w:p>
      <w:pPr>
        <w:spacing w:line="600" w:lineRule="exact"/>
        <w:ind w:firstLine="643" w:firstLineChars="200"/>
        <w:rPr>
          <w:rFonts w:ascii="仿宋_GB2312" w:hAnsi="Times New Roman" w:eastAsia="仿宋_GB2312"/>
          <w:bCs/>
          <w:sz w:val="32"/>
          <w:szCs w:val="32"/>
        </w:rPr>
      </w:pPr>
      <w:r>
        <w:rPr>
          <w:rFonts w:hint="eastAsia" w:ascii="仿宋_GB2312" w:hAnsi="仿宋_GB2312" w:eastAsia="仿宋_GB2312" w:cs="仿宋_GB2312"/>
          <w:b/>
          <w:bCs/>
          <w:sz w:val="32"/>
          <w:szCs w:val="32"/>
        </w:rPr>
        <w:t>完善高质量全覆盖多层次社会保险制度。</w:t>
      </w:r>
      <w:r>
        <w:rPr>
          <w:rFonts w:hint="eastAsia" w:ascii="仿宋_GB2312" w:hAnsi="仿宋_GB2312" w:eastAsia="仿宋_GB2312" w:cs="仿宋_GB2312"/>
          <w:sz w:val="32"/>
          <w:szCs w:val="32"/>
        </w:rPr>
        <w:t>健全养老保险制度，</w:t>
      </w:r>
      <w:r>
        <w:rPr>
          <w:rFonts w:hint="eastAsia" w:ascii="仿宋_GB2312" w:hAnsi="仿宋_GB2312" w:eastAsia="仿宋_GB2312" w:cs="仿宋_GB2312"/>
          <w:sz w:val="32"/>
          <w:szCs w:val="32"/>
          <w:lang w:bidi="ar"/>
        </w:rPr>
        <w:t>构建以基本养老保险为基础、以企业（职业）年金为补充、与个人储蓄型养老保险和商业保险相衔接的养老保险体系，探索放开</w:t>
      </w:r>
      <w:r>
        <w:rPr>
          <w:rFonts w:hint="eastAsia" w:ascii="仿宋_GB2312" w:hAnsi="仿宋_GB2312" w:eastAsia="仿宋_GB2312" w:cs="仿宋_GB2312"/>
          <w:sz w:val="32"/>
          <w:szCs w:val="32"/>
        </w:rPr>
        <w:t>外籍高层次人才养老保险延缴趸缴政策。落实渐进式延迟法定退休年龄政策</w:t>
      </w:r>
      <w:r>
        <w:rPr>
          <w:rFonts w:hint="eastAsia" w:ascii="仿宋_GB2312" w:hAnsi="仿宋_GB2312" w:eastAsia="仿宋_GB2312" w:cs="仿宋_GB2312"/>
          <w:sz w:val="32"/>
          <w:szCs w:val="32"/>
          <w:lang w:bidi="ar"/>
        </w:rPr>
        <w:t>。</w:t>
      </w:r>
      <w:r>
        <w:rPr>
          <w:rFonts w:hint="eastAsia" w:ascii="仿宋_GB2312" w:hAnsi="仿宋_GB2312" w:eastAsia="仿宋_GB2312" w:cs="仿宋_GB2312"/>
          <w:sz w:val="32"/>
          <w:szCs w:val="32"/>
        </w:rPr>
        <w:t>鼓励商业健康保险与基本医疗保险补充衔接，推动长期护理险落实落地。提高社会保险公共服务水平，</w:t>
      </w:r>
      <w:r>
        <w:rPr>
          <w:rFonts w:hint="eastAsia" w:ascii="仿宋_GB2312" w:hAnsi="仿宋_GB2312" w:eastAsia="仿宋_GB2312" w:cs="仿宋_GB2312"/>
          <w:sz w:val="32"/>
          <w:szCs w:val="32"/>
          <w:lang w:bidi="ar"/>
        </w:rPr>
        <w:t>推动全国社会保险公共服务平台落地，形成以社会保障卡为载体的“一卡通”服务管理模式。</w:t>
      </w:r>
    </w:p>
    <w:p>
      <w:pPr>
        <w:spacing w:line="600" w:lineRule="exact"/>
        <w:ind w:firstLine="643" w:firstLineChars="200"/>
        <w:rPr>
          <w:rFonts w:ascii="仿宋_GB2312" w:hAnsi="仿宋" w:eastAsia="仿宋_GB2312" w:cs="微软雅黑"/>
          <w:spacing w:val="-2"/>
          <w:kern w:val="0"/>
          <w:sz w:val="32"/>
          <w:szCs w:val="32"/>
        </w:rPr>
      </w:pPr>
      <w:r>
        <w:rPr>
          <w:rFonts w:hint="eastAsia" w:ascii="仿宋_GB2312" w:hAnsi="仿宋_GB2312" w:eastAsia="仿宋_GB2312" w:cs="仿宋_GB2312"/>
          <w:b/>
          <w:bCs/>
          <w:sz w:val="32"/>
          <w:szCs w:val="32"/>
        </w:rPr>
        <w:t>建设老年友好型城市。</w:t>
      </w:r>
      <w:r>
        <w:rPr>
          <w:rFonts w:hint="eastAsia" w:ascii="仿宋_GB2312" w:hAnsi="仿宋" w:eastAsia="仿宋_GB2312" w:cs="微软雅黑"/>
          <w:spacing w:val="-2"/>
          <w:kern w:val="0"/>
          <w:sz w:val="32"/>
          <w:szCs w:val="32"/>
        </w:rPr>
        <w:t>健全居家社区机构相协调、医养康养相结合的养老服务体系，构建兜底养老服务、基本养老服务、非基本养老服务充分协调发展的多层次多样化养老服务供给格局，构建15分钟养老服务圈。完善养老服务设施布局，健全居家社区养老服务设施配建标准，</w:t>
      </w:r>
      <w:r>
        <w:rPr>
          <w:rFonts w:hint="eastAsia" w:ascii="仿宋_GB2312" w:hAnsi="仿宋_GB2312" w:eastAsia="仿宋_GB2312" w:cs="仿宋_GB2312"/>
          <w:sz w:val="32"/>
          <w:szCs w:val="32"/>
        </w:rPr>
        <w:t>开展社区和家庭适老化改造。</w:t>
      </w:r>
      <w:r>
        <w:rPr>
          <w:rFonts w:hint="eastAsia" w:ascii="仿宋_GB2312" w:hAnsi="仿宋" w:eastAsia="仿宋_GB2312" w:cs="微软雅黑"/>
          <w:spacing w:val="-2"/>
          <w:kern w:val="0"/>
          <w:sz w:val="32"/>
          <w:szCs w:val="32"/>
        </w:rPr>
        <w:t>扩大养老服务供给，完善专业化长期照护服务体系，培育一批具有全国影响力的养老服务品牌。切实解决老年人运用智能技术困难，让广大老年人更好地适应并融入智慧社会。充分发挥老干部、老战士、老专家、老教师、老模范等“五老”作用，鼓励更多老同志老有所为。到2025年，街道长者服务中心覆盖率超过90%。</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建立健全民生兜底保障体系。</w:t>
      </w:r>
      <w:r>
        <w:rPr>
          <w:rFonts w:hint="eastAsia" w:ascii="仿宋_GB2312" w:eastAsia="仿宋_GB2312"/>
          <w:sz w:val="32"/>
          <w:szCs w:val="32"/>
        </w:rPr>
        <w:t>构建以基本生活救助、专项社会救助、急难社会救助为主体，社会力量参与为补充，广覆盖、有梯度、相衔接、精准化的分层分类综合救助体系。创新多元化救助方式，健全救助、就业、保险、慈善的联动机制，推动“兜底型”救助向“发展型”帮扶转变。</w:t>
      </w:r>
      <w:r>
        <w:rPr>
          <w:rFonts w:hint="eastAsia" w:ascii="仿宋_GB2312" w:hAnsi="仿宋_GB2312" w:eastAsia="仿宋_GB2312" w:cs="仿宋_GB2312"/>
          <w:sz w:val="32"/>
          <w:szCs w:val="32"/>
        </w:rPr>
        <w:t>建立健全退役军人组织管理体系、工作运行体系、政策制度体系，提升退役军人服务保障水平。落实社会救助和保障标准与物价上涨挂钩联动机制，及时足额发放价格临时补贴。</w:t>
      </w:r>
    </w:p>
    <w:p>
      <w:pPr>
        <w:spacing w:line="600" w:lineRule="exact"/>
        <w:ind w:firstLine="643" w:firstLineChars="200"/>
        <w:jc w:val="left"/>
        <w:rPr>
          <w:rFonts w:ascii="楷体" w:hAnsi="楷体" w:eastAsia="楷体" w:cs="楷体"/>
          <w:b/>
          <w:bCs/>
          <w:sz w:val="32"/>
          <w:szCs w:val="32"/>
        </w:rPr>
      </w:pPr>
    </w:p>
    <w:p>
      <w:pPr>
        <w:overflowPunct w:val="0"/>
        <w:spacing w:line="580" w:lineRule="exact"/>
        <w:jc w:val="center"/>
        <w:outlineLvl w:val="2"/>
        <w:rPr>
          <w:rFonts w:ascii="楷体" w:hAnsi="楷体" w:eastAsia="楷体" w:cs="楷体"/>
          <w:b/>
          <w:bCs/>
          <w:sz w:val="32"/>
          <w:szCs w:val="32"/>
        </w:rPr>
      </w:pPr>
      <w:bookmarkStart w:id="4245" w:name="_Toc29892"/>
      <w:bookmarkStart w:id="4246" w:name="_Toc31027"/>
      <w:bookmarkStart w:id="4247" w:name="_Toc30572"/>
      <w:bookmarkStart w:id="4248" w:name="_Toc5252"/>
      <w:bookmarkStart w:id="4249" w:name="_Toc18278"/>
      <w:bookmarkStart w:id="4250" w:name="_Toc18973"/>
      <w:bookmarkStart w:id="4251" w:name="_Toc26738"/>
      <w:bookmarkStart w:id="4252" w:name="_Toc13393"/>
      <w:bookmarkStart w:id="4253" w:name="_Toc28393"/>
      <w:bookmarkStart w:id="4254" w:name="_Toc23390"/>
      <w:bookmarkStart w:id="4255" w:name="_Toc8706"/>
      <w:bookmarkStart w:id="4256" w:name="_Toc24602"/>
      <w:bookmarkStart w:id="4257" w:name="_Toc13997"/>
      <w:bookmarkStart w:id="4258" w:name="_Toc28529"/>
      <w:bookmarkStart w:id="4259" w:name="_Toc28120"/>
      <w:bookmarkStart w:id="4260" w:name="_Toc11415"/>
      <w:bookmarkStart w:id="4261" w:name="_Toc7198"/>
      <w:bookmarkStart w:id="4262" w:name="_Toc15627"/>
      <w:bookmarkStart w:id="4263" w:name="_Toc29461"/>
      <w:bookmarkStart w:id="4264" w:name="_Toc31104"/>
      <w:r>
        <w:rPr>
          <w:rFonts w:hint="eastAsia" w:ascii="楷体" w:hAnsi="楷体" w:eastAsia="楷体" w:cs="楷体"/>
          <w:b/>
          <w:bCs/>
          <w:sz w:val="32"/>
          <w:szCs w:val="32"/>
        </w:rPr>
        <w:t>第四节 保障妇女、未成年人和残疾人基本权益</w:t>
      </w:r>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p>
    <w:p>
      <w:pPr>
        <w:pStyle w:val="62"/>
        <w:snapToGrid w:val="0"/>
        <w:spacing w:line="580" w:lineRule="exact"/>
        <w:ind w:firstLine="643" w:firstLineChars="200"/>
        <w:rPr>
          <w:rFonts w:ascii="仿宋_GB2312" w:hAnsi="仿宋_GB2312" w:eastAsia="仿宋_GB2312" w:cs="仿宋_GB2312"/>
          <w:sz w:val="32"/>
        </w:rPr>
      </w:pPr>
      <w:r>
        <w:rPr>
          <w:rFonts w:hint="eastAsia" w:ascii="仿宋_GB2312" w:hAnsi="Times New Roman" w:eastAsia="仿宋_GB2312"/>
          <w:b/>
          <w:sz w:val="32"/>
        </w:rPr>
        <w:t>促进男女平等和妇女全面发展。</w:t>
      </w:r>
      <w:r>
        <w:rPr>
          <w:rFonts w:hint="eastAsia" w:ascii="仿宋_GB2312" w:hAnsi="Times New Roman" w:eastAsia="仿宋_GB2312"/>
          <w:bCs/>
          <w:sz w:val="32"/>
        </w:rPr>
        <w:t>全面贯彻落实男女平等基本国策，</w:t>
      </w:r>
      <w:r>
        <w:rPr>
          <w:rFonts w:hint="eastAsia" w:ascii="仿宋_GB2312" w:hAnsi="仿宋_GB2312" w:eastAsia="仿宋_GB2312" w:cs="仿宋_GB2312"/>
          <w:sz w:val="32"/>
        </w:rPr>
        <w:t>提高全社会的性别平等意识。全方位优化妇女发展环境，实现妇女事业和经济社会同步发展。拓宽妇女就业渠道，消除就业性别歧视，促进妇女成长成才。强化社会服务，优先保障孕产妇等特殊人群，加强特殊困难妇女群体民生保障。严厉打击侵害妇女合法权益的违法犯罪行为。</w:t>
      </w:r>
      <w:r>
        <w:rPr>
          <w:rFonts w:hint="eastAsia" w:ascii="仿宋_GB2312" w:hAnsi="Times New Roman" w:eastAsia="仿宋_GB2312"/>
          <w:bCs/>
          <w:sz w:val="32"/>
        </w:rPr>
        <w:t>完善支持家庭发展政策法规体系，建设一批家风家教实践基地，以家庭文明涵养城市文明。</w:t>
      </w:r>
    </w:p>
    <w:p>
      <w:pPr>
        <w:snapToGrid w:val="0"/>
        <w:spacing w:line="580" w:lineRule="exact"/>
        <w:ind w:firstLine="643" w:firstLineChars="200"/>
        <w:rPr>
          <w:rFonts w:ascii="仿宋_GB2312" w:hAnsi="仿宋_GB2312" w:eastAsia="仿宋_GB2312" w:cs="仿宋_GB2312"/>
          <w:sz w:val="32"/>
          <w:szCs w:val="32"/>
          <w:lang w:val="zh-CN" w:bidi="ar"/>
        </w:rPr>
      </w:pPr>
      <w:r>
        <w:rPr>
          <w:rFonts w:hint="eastAsia" w:ascii="仿宋_GB2312" w:hAnsi="Times New Roman" w:eastAsia="仿宋_GB2312"/>
          <w:b/>
          <w:sz w:val="32"/>
          <w:szCs w:val="32"/>
        </w:rPr>
        <w:t>建设儿童友好型城市。</w:t>
      </w:r>
      <w:r>
        <w:rPr>
          <w:rFonts w:hint="eastAsia" w:ascii="仿宋_GB2312" w:hAnsi="Times New Roman" w:eastAsia="仿宋_GB2312"/>
          <w:bCs/>
          <w:sz w:val="32"/>
          <w:szCs w:val="32"/>
        </w:rPr>
        <w:t>实施儿童优先发展战略，</w:t>
      </w:r>
      <w:r>
        <w:rPr>
          <w:rFonts w:hint="eastAsia" w:ascii="仿宋_GB2312" w:eastAsia="仿宋_GB2312"/>
          <w:sz w:val="32"/>
          <w:szCs w:val="32"/>
          <w:shd w:val="clear" w:color="auto" w:fill="FFFFFF"/>
        </w:rPr>
        <w:t>全域推广儿童友好型医院、</w:t>
      </w:r>
      <w:r>
        <w:rPr>
          <w:rFonts w:hint="eastAsia" w:ascii="仿宋_GB2312" w:hAnsi="Times New Roman" w:eastAsia="仿宋_GB2312"/>
          <w:bCs/>
          <w:sz w:val="32"/>
          <w:szCs w:val="32"/>
        </w:rPr>
        <w:t>图书馆、公园、母婴室等空间设施建设改造，强化儿童安全保护。</w:t>
      </w:r>
      <w:r>
        <w:rPr>
          <w:rFonts w:hint="eastAsia" w:ascii="仿宋_GB2312" w:hAnsi="Times New Roman" w:eastAsia="仿宋_GB2312"/>
          <w:bCs/>
          <w:sz w:val="32"/>
          <w:szCs w:val="32"/>
          <w:lang w:val="zh-CN" w:bidi="ar"/>
        </w:rPr>
        <w:t>加快婴幼儿照护服务发展，探索</w:t>
      </w:r>
      <w:r>
        <w:rPr>
          <w:rFonts w:hint="eastAsia" w:ascii="仿宋_GB2312" w:hAnsi="Times New Roman" w:eastAsia="仿宋_GB2312"/>
          <w:bCs/>
          <w:sz w:val="32"/>
          <w:szCs w:val="32"/>
          <w:lang w:bidi="ar"/>
        </w:rPr>
        <w:t>2岁以下、2-3岁分层照护托育模式</w:t>
      </w:r>
      <w:r>
        <w:rPr>
          <w:rFonts w:hint="eastAsia" w:ascii="仿宋_GB2312" w:hAnsi="Times New Roman" w:eastAsia="仿宋_GB2312"/>
          <w:bCs/>
          <w:sz w:val="32"/>
          <w:szCs w:val="32"/>
          <w:lang w:val="zh-CN" w:bidi="ar"/>
        </w:rPr>
        <w:t>，</w:t>
      </w:r>
      <w:r>
        <w:rPr>
          <w:rFonts w:hint="eastAsia" w:ascii="仿宋_GB2312" w:hAnsi="仿宋_GB2312" w:eastAsia="仿宋_GB2312" w:cs="仿宋_GB2312"/>
          <w:sz w:val="32"/>
          <w:szCs w:val="32"/>
          <w:lang w:val="zh-CN" w:bidi="ar"/>
        </w:rPr>
        <w:t>拓展婴幼儿照护服务设施供应渠道，基本形成管理规范、主体多元、布局合理、服务优质的婴幼儿照护服务体系。</w:t>
      </w:r>
    </w:p>
    <w:p>
      <w:pPr>
        <w:spacing w:line="580" w:lineRule="exact"/>
        <w:ind w:firstLine="643" w:firstLineChars="200"/>
        <w:rPr>
          <w:rFonts w:ascii="仿宋_GB2312" w:hAnsi="Times New Roman" w:eastAsia="仿宋_GB2312"/>
          <w:bCs/>
          <w:sz w:val="32"/>
          <w:szCs w:val="32"/>
        </w:rPr>
      </w:pPr>
      <w:r>
        <w:rPr>
          <w:rFonts w:hint="eastAsia" w:ascii="仿宋_GB2312" w:hAnsi="Times New Roman" w:eastAsia="仿宋_GB2312"/>
          <w:b/>
          <w:sz w:val="32"/>
          <w:szCs w:val="32"/>
        </w:rPr>
        <w:t>全面建成青年发展型城市。</w:t>
      </w:r>
      <w:r>
        <w:rPr>
          <w:rFonts w:hint="eastAsia" w:ascii="仿宋_GB2312" w:hAnsi="仿宋_GB2312" w:eastAsia="仿宋_GB2312" w:cs="仿宋_GB2312"/>
          <w:sz w:val="32"/>
          <w:szCs w:val="32"/>
          <w:lang w:val="zh-CN" w:bidi="ar"/>
        </w:rPr>
        <w:t>深入实施深圳中长期青年发展规划，</w:t>
      </w:r>
      <w:r>
        <w:rPr>
          <w:rFonts w:hint="eastAsia" w:ascii="仿宋_GB2312" w:hAnsi="Times New Roman" w:eastAsia="仿宋_GB2312"/>
          <w:bCs/>
          <w:sz w:val="32"/>
          <w:szCs w:val="32"/>
        </w:rPr>
        <w:t>建立完善“党委领导、政府主责、群团协同、社会参与”的青年发展格局，构建青年发展型城市评价体系。建设一批青年文化新型阵地，教育引导青少年健康成长，扎实推动关心下一代事业更好发展，培养思想过硬的特区青年。建设青年就业、婚恋交友、学历教育公益平台，制定实施青少年体质健康、心理健康干预计划，建立健全青少年权益保护机制。实施深港澳青年人才联合培养计划，搭建大湾区青年交流与合作中心，拓宽青年参与国际交往渠道，培养一批高素质、国际化、创新型青年人才。</w:t>
      </w:r>
    </w:p>
    <w:p>
      <w:pPr>
        <w:pStyle w:val="62"/>
        <w:spacing w:line="580" w:lineRule="exact"/>
        <w:ind w:firstLine="643" w:firstLineChars="200"/>
        <w:rPr>
          <w:rFonts w:ascii="仿宋_GB2312" w:hAnsi="Times New Roman" w:eastAsia="仿宋_GB2312"/>
          <w:bCs/>
          <w:sz w:val="32"/>
        </w:rPr>
      </w:pPr>
      <w:r>
        <w:rPr>
          <w:rFonts w:hint="eastAsia" w:ascii="仿宋_GB2312" w:hAnsi="Times New Roman" w:eastAsia="仿宋_GB2312"/>
          <w:b/>
          <w:sz w:val="32"/>
        </w:rPr>
        <w:t>加快建设无障碍城市</w:t>
      </w:r>
      <w:r>
        <w:rPr>
          <w:rFonts w:hint="eastAsia" w:ascii="仿宋_GB2312" w:hAnsi="仿宋_GB2312" w:eastAsia="仿宋_GB2312" w:cs="仿宋_GB2312"/>
          <w:b/>
          <w:sz w:val="32"/>
        </w:rPr>
        <w:t>。</w:t>
      </w:r>
      <w:r>
        <w:rPr>
          <w:rFonts w:hint="eastAsia" w:ascii="仿宋_GB2312" w:hAnsi="Times New Roman" w:eastAsia="仿宋_GB2312"/>
          <w:bCs/>
          <w:sz w:val="32"/>
        </w:rPr>
        <w:t>建立健全无障碍城市建设标准规则体系，实施残疾人服务设施提升工程。完善残疾人基本福利制度，加强残疾人特殊困难救助管理，建立分档补贴标准，完善困难残疾人生活补贴和重度残疾人护理补贴制度。发展康复辅助器具产业。</w:t>
      </w:r>
    </w:p>
    <w:p>
      <w:pPr>
        <w:overflowPunct w:val="0"/>
        <w:spacing w:line="580" w:lineRule="exact"/>
        <w:jc w:val="center"/>
        <w:outlineLvl w:val="2"/>
        <w:rPr>
          <w:rFonts w:ascii="楷体" w:hAnsi="楷体" w:eastAsia="楷体" w:cs="楷体"/>
          <w:b/>
          <w:bCs/>
          <w:sz w:val="32"/>
          <w:szCs w:val="32"/>
        </w:rPr>
      </w:pPr>
      <w:bookmarkStart w:id="4265" w:name="_Toc24566"/>
      <w:bookmarkStart w:id="4266" w:name="_Toc7172"/>
      <w:bookmarkStart w:id="4267" w:name="_Toc30668"/>
      <w:bookmarkStart w:id="4268" w:name="_Toc28315"/>
      <w:bookmarkStart w:id="4269" w:name="_Toc15734"/>
      <w:bookmarkStart w:id="4270" w:name="_Toc21373"/>
      <w:bookmarkStart w:id="4271" w:name="_Toc25532"/>
      <w:bookmarkStart w:id="4272" w:name="_Toc16986"/>
      <w:bookmarkStart w:id="4273" w:name="_Toc6918"/>
      <w:bookmarkStart w:id="4274" w:name="_Toc7655"/>
      <w:bookmarkStart w:id="4275" w:name="_Toc23226"/>
      <w:bookmarkStart w:id="4276" w:name="_Toc29070"/>
      <w:bookmarkStart w:id="4277" w:name="_Toc15249"/>
      <w:bookmarkStart w:id="4278" w:name="_Toc19774"/>
      <w:bookmarkStart w:id="4279" w:name="_Toc8022"/>
      <w:bookmarkStart w:id="4280" w:name="_Toc8073"/>
      <w:bookmarkStart w:id="4281" w:name="_Toc991"/>
      <w:bookmarkStart w:id="4282" w:name="_Toc29488"/>
      <w:bookmarkStart w:id="4283" w:name="_Toc25976"/>
      <w:bookmarkStart w:id="4284" w:name="_Toc16260"/>
      <w:bookmarkStart w:id="4285" w:name="_Toc15634"/>
      <w:bookmarkStart w:id="4286" w:name="_Toc25736"/>
      <w:bookmarkStart w:id="4287" w:name="_Toc12990"/>
      <w:bookmarkStart w:id="4288" w:name="_Toc21766"/>
      <w:bookmarkStart w:id="4289" w:name="_Toc31672"/>
      <w:bookmarkStart w:id="4290" w:name="_Toc1626"/>
      <w:bookmarkStart w:id="4291" w:name="_Toc1339"/>
      <w:bookmarkStart w:id="4292" w:name="_Toc11202"/>
      <w:bookmarkStart w:id="4293" w:name="_Toc3191"/>
      <w:bookmarkStart w:id="4294" w:name="_Toc653"/>
      <w:bookmarkStart w:id="4295" w:name="_Toc21261"/>
      <w:bookmarkStart w:id="4296" w:name="_Toc31381"/>
      <w:bookmarkStart w:id="4297" w:name="_Toc9779"/>
      <w:bookmarkStart w:id="4298" w:name="_Toc11366"/>
      <w:bookmarkStart w:id="4299" w:name="_Toc6509"/>
      <w:bookmarkStart w:id="4300" w:name="_Toc24006"/>
      <w:bookmarkStart w:id="4301" w:name="_Toc9083"/>
      <w:r>
        <w:rPr>
          <w:rFonts w:hint="eastAsia" w:ascii="楷体" w:hAnsi="楷体" w:eastAsia="楷体" w:cs="楷体"/>
          <w:b/>
          <w:bCs/>
          <w:sz w:val="32"/>
          <w:szCs w:val="32"/>
        </w:rPr>
        <w:t>第五节 加强和创新社会治理</w:t>
      </w:r>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p>
    <w:p>
      <w:pPr>
        <w:pStyle w:val="40"/>
        <w:overflowPunct w:val="0"/>
        <w:spacing w:line="58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完善社会治理格局。</w:t>
      </w:r>
      <w:r>
        <w:rPr>
          <w:rFonts w:hint="eastAsia" w:ascii="仿宋_GB2312" w:hAnsi="仿宋_GB2312" w:eastAsia="仿宋_GB2312" w:cs="仿宋_GB2312"/>
          <w:sz w:val="32"/>
          <w:szCs w:val="32"/>
        </w:rPr>
        <w:t>完善党委领导、政府负责、民主协商、社会协同、公众参与、法治保障、科技支撑的社会治理体系，建设人人有责、人人尽责、人人享有的社会治理共同体，打造全国市域社会治理现代化标杆城市。推动社会治理和服务重心下移，深化“多网合一”网格化服务管理，完善以“块数据”智能底板为基础的市域社会治理平台。完善基层群众自治机制，发挥群团组织和社会组织作用。</w:t>
      </w:r>
    </w:p>
    <w:p>
      <w:pPr>
        <w:pStyle w:val="40"/>
        <w:widowControl/>
        <w:overflowPunct w:val="0"/>
        <w:spacing w:line="58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健全社会矛盾纠纷多元预防调处化解机制。</w:t>
      </w:r>
      <w:r>
        <w:rPr>
          <w:rFonts w:hint="eastAsia" w:ascii="仿宋_GB2312" w:hAnsi="仿宋_GB2312" w:eastAsia="仿宋_GB2312" w:cs="仿宋_GB2312"/>
          <w:sz w:val="32"/>
          <w:szCs w:val="32"/>
        </w:rPr>
        <w:t>坚持和发展新时代“枫桥经验”，推广群众诉求服务“光明模式”，健全社会矛盾纠纷排查预警和多元调处化解机制，努力将矛盾化解在基层。完善非诉讼纠纷解决机制，构建多元化纠纷解决体系，畅通和规范群众诉求表达、利益协调、权益保障通道。完善人民调解、行政调解、司法调解联动工作体系，促进行业性、专业性调解组织建设，大力发展商事调解。完善和发展快速裁决法庭，全面推进一站式诉讼服务中心建设。完善信访制度，加强信访监督，推动信访矛盾源头化解。</w:t>
      </w:r>
    </w:p>
    <w:p>
      <w:pPr>
        <w:spacing w:line="580" w:lineRule="exact"/>
        <w:ind w:firstLine="640"/>
        <w:rPr>
          <w:rFonts w:ascii="仿宋_GB2312" w:hAnsi="仿宋_GB2312" w:eastAsia="仿宋_GB2312" w:cs="仿宋_GB2312"/>
          <w:sz w:val="32"/>
          <w:szCs w:val="32"/>
        </w:rPr>
        <w:sectPr>
          <w:headerReference r:id="rId10" w:type="default"/>
          <w:footerReference r:id="rId11" w:type="default"/>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b/>
          <w:bCs/>
          <w:sz w:val="32"/>
          <w:szCs w:val="32"/>
        </w:rPr>
        <w:t>培育发展社会组织和社工队伍。</w:t>
      </w:r>
      <w:r>
        <w:rPr>
          <w:rFonts w:hint="eastAsia" w:ascii="仿宋_GB2312" w:hAnsi="仿宋_GB2312" w:eastAsia="仿宋_GB2312" w:cs="仿宋_GB2312"/>
          <w:sz w:val="32"/>
          <w:szCs w:val="32"/>
        </w:rPr>
        <w:t>深化社会组织管理体制改革，提升法人治理能力，健全社会组织退出机制和登记管理制度。加大社会组织培育力度，支持社会组织承接政府购买服务项目。完善社工培养、使用、管理、激励制度，形成结构合理、发展渠道畅通的社工队伍。加强专业社工机构规范化建设，建立标准化服务体系。</w:t>
      </w:r>
    </w:p>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p>
      <w:pPr>
        <w:spacing w:line="600" w:lineRule="exact"/>
        <w:jc w:val="center"/>
        <w:outlineLvl w:val="0"/>
        <w:rPr>
          <w:rFonts w:ascii="黑体" w:hAnsi="黑体" w:eastAsia="黑体" w:cs="黑体"/>
          <w:sz w:val="40"/>
          <w:szCs w:val="40"/>
          <w:lang w:val="zh-CN"/>
        </w:rPr>
      </w:pPr>
      <w:bookmarkStart w:id="4302" w:name="_Toc11887"/>
      <w:bookmarkStart w:id="4303" w:name="_Toc11783"/>
      <w:bookmarkStart w:id="4304" w:name="_Toc12923"/>
      <w:bookmarkStart w:id="4305" w:name="_Toc25264"/>
      <w:bookmarkStart w:id="4306" w:name="_Toc30308"/>
      <w:bookmarkStart w:id="4307" w:name="_Toc18870"/>
      <w:bookmarkStart w:id="4308" w:name="_Toc25640"/>
      <w:bookmarkStart w:id="4309" w:name="_Toc21417"/>
      <w:bookmarkStart w:id="4310" w:name="_Toc32746"/>
      <w:bookmarkStart w:id="4311" w:name="_Toc9617"/>
      <w:bookmarkStart w:id="4312" w:name="_Toc11666"/>
      <w:bookmarkStart w:id="4313" w:name="_Toc19679"/>
      <w:bookmarkStart w:id="4314" w:name="_Toc31996"/>
      <w:bookmarkStart w:id="4315" w:name="_Toc20112"/>
      <w:bookmarkStart w:id="4316" w:name="_Toc26381"/>
      <w:bookmarkStart w:id="4317" w:name="_Toc7255"/>
      <w:bookmarkStart w:id="4318" w:name="_Toc3273"/>
      <w:bookmarkStart w:id="4319" w:name="_Toc16663"/>
      <w:bookmarkStart w:id="4320" w:name="_Toc24614"/>
      <w:bookmarkStart w:id="4321" w:name="_Toc30525"/>
      <w:bookmarkStart w:id="4322" w:name="_Toc5348"/>
      <w:bookmarkStart w:id="4323" w:name="_Toc6490"/>
      <w:bookmarkStart w:id="4324" w:name="_Toc19276"/>
      <w:bookmarkStart w:id="4325" w:name="_Toc11097"/>
      <w:bookmarkStart w:id="4326" w:name="_Toc1484"/>
      <w:bookmarkStart w:id="4327" w:name="_Toc29167"/>
      <w:bookmarkStart w:id="4328" w:name="_Toc1200"/>
      <w:bookmarkStart w:id="4329" w:name="_Toc22401"/>
      <w:bookmarkStart w:id="4330" w:name="_Toc4497"/>
      <w:bookmarkStart w:id="4331" w:name="_Toc5368"/>
      <w:bookmarkStart w:id="4332" w:name="_Toc18905"/>
      <w:bookmarkStart w:id="4333" w:name="_Toc30514"/>
      <w:bookmarkStart w:id="4334" w:name="_Toc28803"/>
      <w:bookmarkStart w:id="4335" w:name="_Toc18953"/>
      <w:bookmarkStart w:id="4336" w:name="_Toc17639"/>
      <w:bookmarkStart w:id="4337" w:name="_Toc12687"/>
      <w:bookmarkStart w:id="4338" w:name="_Toc1088"/>
      <w:bookmarkStart w:id="4339" w:name="_Toc2839"/>
      <w:bookmarkStart w:id="4340" w:name="_Toc2562"/>
      <w:bookmarkStart w:id="4341" w:name="_Toc22137"/>
      <w:bookmarkStart w:id="4342" w:name="_Toc21839"/>
      <w:bookmarkStart w:id="4343" w:name="_Toc23236"/>
      <w:bookmarkStart w:id="4344" w:name="_Toc25359"/>
      <w:bookmarkStart w:id="4345" w:name="_Toc2520"/>
      <w:bookmarkStart w:id="4346" w:name="_Toc28172"/>
      <w:bookmarkStart w:id="4347" w:name="_Toc2258"/>
      <w:bookmarkStart w:id="4348" w:name="_Toc1235"/>
      <w:bookmarkStart w:id="4349" w:name="_Toc30829"/>
      <w:bookmarkStart w:id="4350" w:name="_Toc25067"/>
      <w:bookmarkStart w:id="4351" w:name="_Toc27338"/>
      <w:bookmarkStart w:id="4352" w:name="_Toc5355"/>
      <w:bookmarkStart w:id="4353" w:name="_Toc6436"/>
      <w:bookmarkStart w:id="4354" w:name="_Toc26319"/>
      <w:bookmarkStart w:id="4355" w:name="_Toc4160"/>
      <w:bookmarkStart w:id="4356" w:name="_Toc5160"/>
      <w:bookmarkStart w:id="4357" w:name="_Toc14083"/>
      <w:bookmarkStart w:id="4358" w:name="_Toc28260"/>
      <w:bookmarkStart w:id="4359" w:name="_Toc26213"/>
      <w:bookmarkStart w:id="4360" w:name="_Toc456"/>
      <w:bookmarkStart w:id="4361" w:name="_Toc12397"/>
      <w:bookmarkStart w:id="4362" w:name="_Toc5069"/>
      <w:bookmarkStart w:id="4363" w:name="_Toc15208"/>
      <w:bookmarkStart w:id="4364" w:name="_Toc23583"/>
      <w:bookmarkStart w:id="4365" w:name="_Toc23721"/>
      <w:bookmarkStart w:id="4366" w:name="_Toc31315"/>
      <w:bookmarkStart w:id="4367" w:name="_Toc21721"/>
      <w:bookmarkStart w:id="4368" w:name="_Toc3573"/>
      <w:bookmarkStart w:id="4369" w:name="_Toc8810"/>
      <w:bookmarkStart w:id="4370" w:name="_Toc24067"/>
      <w:bookmarkStart w:id="4371" w:name="_Toc18338"/>
      <w:bookmarkStart w:id="4372" w:name="_Toc23702"/>
      <w:bookmarkStart w:id="4373" w:name="_Toc30920"/>
      <w:bookmarkStart w:id="4374" w:name="_Toc3911"/>
      <w:r>
        <w:rPr>
          <w:rFonts w:hint="eastAsia" w:ascii="黑体" w:hAnsi="黑体" w:eastAsia="黑体" w:cs="黑体"/>
          <w:sz w:val="40"/>
          <w:szCs w:val="40"/>
          <w:lang w:val="zh-CN"/>
        </w:rPr>
        <w:t>第七篇 率先打造人与自然和谐共生的美丽中国典范</w:t>
      </w:r>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p>
    <w:p>
      <w:pPr>
        <w:spacing w:line="600" w:lineRule="exact"/>
        <w:rPr>
          <w:lang w:val="zh-CN"/>
        </w:rPr>
      </w:pPr>
    </w:p>
    <w:p>
      <w:pPr>
        <w:overflowPunct w:val="0"/>
        <w:autoSpaceDE w:val="0"/>
        <w:adjustRightInd w:val="0"/>
        <w:snapToGrid w:val="0"/>
        <w:spacing w:line="600" w:lineRule="exact"/>
        <w:ind w:firstLine="640" w:firstLineChars="200"/>
        <w:rPr>
          <w:rFonts w:ascii="仿宋_GB2312" w:eastAsia="仿宋_GB2312"/>
          <w:sz w:val="32"/>
          <w:szCs w:val="32"/>
        </w:rPr>
      </w:pPr>
      <w:bookmarkStart w:id="4375" w:name="_Toc5860"/>
      <w:r>
        <w:rPr>
          <w:rFonts w:hint="eastAsia" w:ascii="仿宋_GB2312" w:eastAsia="仿宋_GB2312"/>
          <w:sz w:val="32"/>
          <w:szCs w:val="32"/>
          <w:lang w:val="zh-CN"/>
        </w:rPr>
        <w:t>牢固树立和践行绿水青山就是金山银山的理念，坚定不移走生态优先、绿色发展之路，推进绿色循环低碳发展，形成节约资源、保护环境的空间格局、产业结构、生产方式、生活方式，加快</w:t>
      </w:r>
      <w:r>
        <w:rPr>
          <w:rFonts w:ascii="Times New Roman" w:hAnsi="Times New Roman" w:eastAsia="仿宋_GB2312"/>
          <w:sz w:val="32"/>
          <w:szCs w:val="32"/>
        </w:rPr>
        <w:t>建成天蓝地绿水</w:t>
      </w:r>
      <w:r>
        <w:rPr>
          <w:rFonts w:hint="eastAsia" w:ascii="Times New Roman" w:hAnsi="Times New Roman" w:eastAsia="仿宋_GB2312"/>
          <w:sz w:val="32"/>
          <w:szCs w:val="32"/>
        </w:rPr>
        <w:t>清</w:t>
      </w:r>
      <w:r>
        <w:rPr>
          <w:rFonts w:ascii="Times New Roman" w:hAnsi="Times New Roman" w:eastAsia="仿宋_GB2312"/>
          <w:sz w:val="32"/>
          <w:szCs w:val="32"/>
        </w:rPr>
        <w:t>的生态之城、</w:t>
      </w:r>
      <w:r>
        <w:rPr>
          <w:rFonts w:hint="eastAsia" w:ascii="Times New Roman" w:hAnsi="Times New Roman" w:eastAsia="仿宋_GB2312"/>
          <w:sz w:val="32"/>
          <w:szCs w:val="32"/>
        </w:rPr>
        <w:t>美丽</w:t>
      </w:r>
      <w:r>
        <w:rPr>
          <w:rFonts w:ascii="Times New Roman" w:hAnsi="Times New Roman" w:eastAsia="仿宋_GB2312"/>
          <w:sz w:val="32"/>
          <w:szCs w:val="32"/>
        </w:rPr>
        <w:t>家园</w:t>
      </w:r>
      <w:r>
        <w:rPr>
          <w:rFonts w:hint="eastAsia" w:ascii="仿宋_GB2312" w:eastAsia="仿宋_GB2312"/>
          <w:sz w:val="32"/>
          <w:szCs w:val="32"/>
        </w:rPr>
        <w:t>。</w:t>
      </w:r>
      <w:r>
        <w:rPr>
          <w:rFonts w:ascii="仿宋_GB2312" w:eastAsia="仿宋_GB2312"/>
          <w:sz w:val="32"/>
          <w:szCs w:val="32"/>
        </w:rPr>
        <w:t xml:space="preserve"> </w:t>
      </w:r>
    </w:p>
    <w:bookmarkEnd w:id="4375"/>
    <w:p>
      <w:pPr>
        <w:overflowPunct w:val="0"/>
        <w:adjustRightInd w:val="0"/>
        <w:snapToGrid w:val="0"/>
        <w:spacing w:line="600" w:lineRule="exact"/>
        <w:ind w:firstLine="640" w:firstLineChars="200"/>
        <w:rPr>
          <w:b/>
          <w:bCs/>
          <w:sz w:val="32"/>
          <w:szCs w:val="32"/>
        </w:rPr>
      </w:pPr>
      <w:r>
        <w:rPr>
          <w:rFonts w:ascii="仿宋_GB2312" w:eastAsia="仿宋_GB2312"/>
          <w:sz w:val="32"/>
          <w:szCs w:val="32"/>
        </w:rPr>
        <w:t xml:space="preserve"> </w:t>
      </w:r>
    </w:p>
    <w:p>
      <w:pPr>
        <w:adjustRightInd w:val="0"/>
        <w:snapToGrid w:val="0"/>
        <w:spacing w:line="600" w:lineRule="exact"/>
        <w:ind w:firstLine="1080" w:firstLineChars="300"/>
        <w:outlineLvl w:val="1"/>
        <w:rPr>
          <w:rFonts w:eastAsia="黑体"/>
          <w:kern w:val="44"/>
          <w:sz w:val="32"/>
          <w:szCs w:val="32"/>
        </w:rPr>
      </w:pPr>
      <w:bookmarkStart w:id="4376" w:name="_Toc21531"/>
      <w:bookmarkStart w:id="4377" w:name="_Toc6267"/>
      <w:bookmarkStart w:id="4378" w:name="_Toc21862"/>
      <w:bookmarkStart w:id="4379" w:name="_Toc6529"/>
      <w:bookmarkStart w:id="4380" w:name="_Toc14127"/>
      <w:bookmarkStart w:id="4381" w:name="_Toc12570"/>
      <w:bookmarkStart w:id="4382" w:name="_Toc25887"/>
      <w:bookmarkStart w:id="4383" w:name="_Toc166"/>
      <w:bookmarkStart w:id="4384" w:name="_Toc14952"/>
      <w:bookmarkStart w:id="4385" w:name="_Toc29207"/>
      <w:bookmarkStart w:id="4386" w:name="_Toc17491"/>
      <w:bookmarkStart w:id="4387" w:name="_Toc7518"/>
      <w:bookmarkStart w:id="4388" w:name="_Toc29551"/>
      <w:bookmarkStart w:id="4389" w:name="_Toc17311"/>
      <w:bookmarkStart w:id="4390" w:name="_Toc21293"/>
      <w:bookmarkStart w:id="4391" w:name="_Toc2127"/>
      <w:bookmarkStart w:id="4392" w:name="_Toc29757"/>
      <w:bookmarkStart w:id="4393" w:name="_Toc680"/>
      <w:bookmarkStart w:id="4394" w:name="_Toc28533"/>
      <w:bookmarkStart w:id="4395" w:name="_Toc12762"/>
      <w:bookmarkStart w:id="4396" w:name="_Toc24953"/>
      <w:bookmarkStart w:id="4397" w:name="_Toc7047"/>
      <w:bookmarkStart w:id="4398" w:name="_Toc9980"/>
      <w:bookmarkStart w:id="4399" w:name="_Toc25344"/>
      <w:bookmarkStart w:id="4400" w:name="_Toc32556"/>
      <w:bookmarkStart w:id="4401" w:name="_Toc31035"/>
      <w:bookmarkStart w:id="4402" w:name="_Toc29962"/>
      <w:bookmarkStart w:id="4403" w:name="_Toc16884"/>
      <w:bookmarkStart w:id="4404" w:name="_Toc14135"/>
      <w:bookmarkStart w:id="4405" w:name="_Toc17614"/>
      <w:bookmarkStart w:id="4406" w:name="_Toc21256"/>
      <w:bookmarkStart w:id="4407" w:name="_Toc11784"/>
      <w:bookmarkStart w:id="4408" w:name="_Toc21048"/>
      <w:bookmarkStart w:id="4409" w:name="_Toc28116"/>
      <w:bookmarkStart w:id="4410" w:name="_Toc31567"/>
      <w:bookmarkStart w:id="4411" w:name="_Toc13563"/>
      <w:bookmarkStart w:id="4412" w:name="_Toc16250"/>
      <w:bookmarkStart w:id="4413" w:name="_Toc24163"/>
      <w:bookmarkStart w:id="4414" w:name="_Toc4434"/>
      <w:bookmarkStart w:id="4415" w:name="_Toc26139"/>
      <w:bookmarkStart w:id="4416" w:name="_Toc12599"/>
      <w:bookmarkStart w:id="4417" w:name="_Toc28736"/>
      <w:bookmarkStart w:id="4418" w:name="_Toc20210"/>
      <w:bookmarkStart w:id="4419" w:name="_Toc17991"/>
      <w:bookmarkStart w:id="4420" w:name="_Toc29257"/>
      <w:bookmarkStart w:id="4421" w:name="_Toc22997"/>
      <w:bookmarkStart w:id="4422" w:name="_Toc13786"/>
      <w:bookmarkStart w:id="4423" w:name="_Toc14716"/>
      <w:bookmarkStart w:id="4424" w:name="_Toc11767"/>
      <w:bookmarkStart w:id="4425" w:name="_Toc23761"/>
      <w:bookmarkStart w:id="4426" w:name="_Toc21754"/>
      <w:bookmarkStart w:id="4427" w:name="_Toc6284"/>
      <w:bookmarkStart w:id="4428" w:name="_Toc22374"/>
      <w:bookmarkStart w:id="4429" w:name="_Toc21038"/>
      <w:bookmarkStart w:id="4430" w:name="_Toc8513"/>
      <w:bookmarkStart w:id="4431" w:name="_Toc30148"/>
      <w:bookmarkStart w:id="4432" w:name="_Toc9148"/>
      <w:bookmarkStart w:id="4433" w:name="_Toc3496"/>
      <w:bookmarkStart w:id="4434" w:name="_Toc29534"/>
      <w:bookmarkStart w:id="4435" w:name="_Toc13590"/>
      <w:bookmarkStart w:id="4436" w:name="_Toc31173"/>
      <w:bookmarkStart w:id="4437" w:name="_Toc30831"/>
      <w:bookmarkStart w:id="4438" w:name="_Toc18893"/>
      <w:bookmarkStart w:id="4439" w:name="_Toc27051"/>
      <w:bookmarkStart w:id="4440" w:name="_Toc26969"/>
      <w:bookmarkStart w:id="4441" w:name="_Toc25900"/>
      <w:bookmarkStart w:id="4442" w:name="_Toc7652"/>
      <w:bookmarkStart w:id="4443" w:name="_Toc14033"/>
      <w:bookmarkStart w:id="4444" w:name="_Toc6960"/>
      <w:bookmarkStart w:id="4445" w:name="_Toc1974"/>
      <w:bookmarkStart w:id="4446" w:name="_Toc25664"/>
      <w:bookmarkStart w:id="4447" w:name="_Toc21580"/>
      <w:r>
        <w:rPr>
          <w:rFonts w:hint="eastAsia" w:ascii="黑体" w:hAnsi="黑体" w:eastAsia="黑体" w:cs="黑体"/>
          <w:sz w:val="36"/>
          <w:szCs w:val="36"/>
        </w:rPr>
        <w:t>第十五章</w:t>
      </w:r>
      <w:r>
        <w:rPr>
          <w:rFonts w:ascii="黑体" w:hAnsi="黑体" w:eastAsia="黑体" w:cs="黑体"/>
          <w:sz w:val="36"/>
          <w:szCs w:val="36"/>
        </w:rPr>
        <w:t xml:space="preserve"> </w:t>
      </w:r>
      <w:r>
        <w:rPr>
          <w:rFonts w:hint="eastAsia" w:ascii="黑体" w:hAnsi="黑体" w:eastAsia="黑体" w:cs="黑体"/>
          <w:sz w:val="36"/>
          <w:szCs w:val="36"/>
        </w:rPr>
        <w:t>建设可持续发展国际先进城市</w:t>
      </w:r>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p>
    <w:p>
      <w:pPr>
        <w:overflowPunct w:val="0"/>
        <w:adjustRightInd w:val="0"/>
        <w:snapToGrid w:val="0"/>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推进产业绿色化和绿色产业化，培育壮大绿色技术创新主体，</w:t>
      </w:r>
      <w:r>
        <w:rPr>
          <w:rFonts w:hint="eastAsia" w:ascii="仿宋_GB2312" w:eastAsia="仿宋_GB2312" w:cs="浠垮畫"/>
          <w:kern w:val="0"/>
          <w:sz w:val="32"/>
          <w:szCs w:val="32"/>
        </w:rPr>
        <w:t>构建</w:t>
      </w:r>
      <w:r>
        <w:rPr>
          <w:rFonts w:hint="eastAsia" w:ascii="仿宋_GB2312" w:eastAsia="仿宋_GB2312"/>
          <w:sz w:val="32"/>
          <w:szCs w:val="32"/>
          <w:lang w:val="zh-CN"/>
        </w:rPr>
        <w:t xml:space="preserve">低投入、高产出、低消耗、少排放、能循环、可持续的经济发展模式，促进经济社会发展全面绿色转型，为落实联合国2030年可持续发展议程提供中国经验。 </w:t>
      </w:r>
    </w:p>
    <w:p>
      <w:pPr>
        <w:spacing w:line="600" w:lineRule="exact"/>
        <w:ind w:firstLine="640"/>
        <w:rPr>
          <w:rFonts w:ascii="仿宋_GB2312" w:eastAsia="仿宋_GB2312"/>
          <w:sz w:val="32"/>
          <w:szCs w:val="32"/>
          <w:lang w:val="zh-CN"/>
        </w:rPr>
      </w:pPr>
    </w:p>
    <w:p>
      <w:pPr>
        <w:adjustRightInd w:val="0"/>
        <w:snapToGrid w:val="0"/>
        <w:spacing w:line="600" w:lineRule="exact"/>
        <w:jc w:val="center"/>
        <w:outlineLvl w:val="2"/>
        <w:rPr>
          <w:rFonts w:ascii="楷体" w:hAnsi="楷体" w:eastAsia="楷体" w:cs="楷体"/>
          <w:b/>
          <w:bCs/>
          <w:sz w:val="32"/>
          <w:szCs w:val="32"/>
        </w:rPr>
      </w:pPr>
      <w:bookmarkStart w:id="4448" w:name="_Toc9277"/>
      <w:bookmarkStart w:id="4449" w:name="_Toc8308"/>
      <w:bookmarkStart w:id="4450" w:name="_Toc30242"/>
      <w:bookmarkStart w:id="4451" w:name="_Toc11469"/>
      <w:bookmarkStart w:id="4452" w:name="_Toc5775"/>
      <w:bookmarkStart w:id="4453" w:name="_Toc5776"/>
      <w:bookmarkStart w:id="4454" w:name="_Toc21022"/>
      <w:bookmarkStart w:id="4455" w:name="_Toc14102"/>
      <w:bookmarkStart w:id="4456" w:name="_Toc29493"/>
      <w:bookmarkStart w:id="4457" w:name="_Toc24785"/>
      <w:bookmarkStart w:id="4458" w:name="_Toc22790"/>
      <w:bookmarkStart w:id="4459" w:name="_Toc29199"/>
      <w:bookmarkStart w:id="4460" w:name="_Toc28610"/>
      <w:bookmarkStart w:id="4461" w:name="_Toc18328"/>
      <w:bookmarkStart w:id="4462" w:name="_Toc4452"/>
      <w:bookmarkStart w:id="4463" w:name="_Toc3000"/>
      <w:bookmarkStart w:id="4464" w:name="_Toc26551"/>
      <w:bookmarkStart w:id="4465" w:name="_Toc21662"/>
      <w:bookmarkStart w:id="4466" w:name="_Toc15950"/>
      <w:bookmarkStart w:id="4467" w:name="_Toc21061"/>
      <w:bookmarkStart w:id="4468" w:name="_Toc23819"/>
      <w:bookmarkStart w:id="4469" w:name="_Toc8417"/>
      <w:bookmarkStart w:id="4470" w:name="_Toc16597"/>
      <w:bookmarkStart w:id="4471" w:name="_Toc25786"/>
      <w:bookmarkStart w:id="4472" w:name="_Toc30044"/>
      <w:bookmarkStart w:id="4473" w:name="_Toc26950"/>
      <w:bookmarkStart w:id="4474" w:name="_Toc16967"/>
      <w:bookmarkStart w:id="4475" w:name="_Toc17840"/>
      <w:bookmarkStart w:id="4476" w:name="_Toc14622"/>
      <w:bookmarkStart w:id="4477" w:name="_Toc4438"/>
      <w:bookmarkStart w:id="4478" w:name="_Toc13274"/>
      <w:bookmarkStart w:id="4479" w:name="_Toc29108"/>
      <w:bookmarkStart w:id="4480" w:name="_Toc7818"/>
      <w:bookmarkStart w:id="4481" w:name="_Toc21326"/>
      <w:bookmarkStart w:id="4482" w:name="_Toc9507"/>
      <w:bookmarkStart w:id="4483" w:name="_Toc12610"/>
      <w:bookmarkStart w:id="4484" w:name="_Toc27684"/>
      <w:bookmarkStart w:id="4485" w:name="_Toc18582"/>
      <w:bookmarkStart w:id="4486" w:name="_Toc6125"/>
      <w:bookmarkStart w:id="4487" w:name="_Toc18547"/>
      <w:bookmarkStart w:id="4488" w:name="_Toc4911"/>
      <w:bookmarkStart w:id="4489" w:name="_Toc29016"/>
      <w:bookmarkStart w:id="4490" w:name="_Toc7532"/>
      <w:bookmarkStart w:id="4491" w:name="_Toc31905"/>
      <w:bookmarkStart w:id="4492" w:name="_Toc7041"/>
      <w:bookmarkStart w:id="4493" w:name="_Toc27740"/>
      <w:bookmarkStart w:id="4494" w:name="_Toc29086"/>
      <w:bookmarkStart w:id="4495" w:name="_Toc27499"/>
      <w:bookmarkStart w:id="4496" w:name="_Toc11575"/>
      <w:bookmarkStart w:id="4497" w:name="_Toc25219"/>
      <w:bookmarkStart w:id="4498" w:name="_Toc1357"/>
      <w:bookmarkStart w:id="4499" w:name="_Toc4989"/>
      <w:bookmarkStart w:id="4500" w:name="_Toc2385"/>
      <w:bookmarkStart w:id="4501" w:name="_Toc25246"/>
      <w:bookmarkStart w:id="4502" w:name="_Toc17234"/>
      <w:bookmarkStart w:id="4503" w:name="_Toc7115"/>
      <w:bookmarkStart w:id="4504" w:name="_Toc18917"/>
      <w:bookmarkStart w:id="4505" w:name="_Toc24846"/>
      <w:bookmarkStart w:id="4506" w:name="_Toc19681"/>
      <w:bookmarkStart w:id="4507" w:name="_Toc29777"/>
      <w:bookmarkStart w:id="4508" w:name="_Toc32675"/>
      <w:bookmarkStart w:id="4509" w:name="_Toc28583"/>
      <w:bookmarkStart w:id="4510" w:name="_Toc19375"/>
      <w:bookmarkStart w:id="4511" w:name="_Toc23924"/>
      <w:bookmarkStart w:id="4512" w:name="_Toc18924"/>
      <w:bookmarkStart w:id="4513" w:name="_Toc15112"/>
      <w:bookmarkStart w:id="4514" w:name="_Toc40"/>
      <w:bookmarkStart w:id="4515" w:name="_Toc1854"/>
      <w:bookmarkStart w:id="4516" w:name="_Toc14997"/>
      <w:bookmarkStart w:id="4517" w:name="_Toc26226"/>
      <w:bookmarkStart w:id="4518" w:name="_Toc2105"/>
      <w:bookmarkStart w:id="4519" w:name="_Toc11024"/>
      <w:bookmarkStart w:id="4520" w:name="_Toc24985"/>
      <w:r>
        <w:rPr>
          <w:rFonts w:hint="eastAsia" w:ascii="楷体" w:hAnsi="楷体" w:eastAsia="楷体" w:cs="楷体"/>
          <w:b/>
          <w:bCs/>
          <w:sz w:val="32"/>
          <w:szCs w:val="32"/>
        </w:rPr>
        <w:t>第一节</w:t>
      </w:r>
      <w:r>
        <w:rPr>
          <w:rFonts w:ascii="楷体" w:hAnsi="楷体" w:eastAsia="楷体" w:cs="楷体"/>
          <w:b/>
          <w:bCs/>
          <w:sz w:val="32"/>
          <w:szCs w:val="32"/>
        </w:rPr>
        <w:t xml:space="preserve"> </w:t>
      </w:r>
      <w:bookmarkEnd w:id="4448"/>
      <w:r>
        <w:rPr>
          <w:rFonts w:hint="eastAsia" w:ascii="楷体" w:hAnsi="楷体" w:eastAsia="楷体" w:cs="楷体"/>
          <w:b/>
          <w:bCs/>
          <w:sz w:val="32"/>
          <w:szCs w:val="32"/>
        </w:rPr>
        <w:t>加快绿色低碳循环发展</w:t>
      </w:r>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推动绿色产业发展。</w:t>
      </w:r>
      <w:r>
        <w:rPr>
          <w:rFonts w:hint="eastAsia" w:ascii="仿宋_GB2312" w:eastAsia="仿宋_GB2312"/>
          <w:sz w:val="32"/>
          <w:szCs w:val="32"/>
        </w:rPr>
        <w:t>围绕新能源汽车、可再生能源、高效储能等产业，培育一批具有国际竞争力的绿色领军企业，促进绿色产业规模化集聚性发展。建立绿色产业认定规则体系，完善绿色产业支持政策。</w:t>
      </w:r>
      <w:r>
        <w:rPr>
          <w:rFonts w:hint="eastAsia" w:ascii="仿宋_GB2312" w:hAnsi="仿宋_GB2312" w:eastAsia="仿宋_GB2312" w:cs="仿宋_GB2312"/>
          <w:sz w:val="32"/>
          <w:szCs w:val="32"/>
        </w:rPr>
        <w:t>构建</w:t>
      </w:r>
      <w:r>
        <w:rPr>
          <w:rFonts w:hint="eastAsia" w:ascii="仿宋_GB2312" w:eastAsia="仿宋_GB2312"/>
          <w:sz w:val="32"/>
          <w:szCs w:val="32"/>
        </w:rPr>
        <w:t>市场导向的绿色技术创新体系，强化深圳排放权交易所平台作用，加强新能源、节能环保技术领域的科学研究和市场应用。培育绿色技术创新主体，健全企业绿色创新的激励机制。</w:t>
      </w:r>
    </w:p>
    <w:p>
      <w:pPr>
        <w:overflowPunct w:val="0"/>
        <w:adjustRightInd w:val="0"/>
        <w:snapToGrid w:val="0"/>
        <w:spacing w:line="600" w:lineRule="exact"/>
        <w:ind w:firstLine="643" w:firstLineChars="200"/>
        <w:rPr>
          <w:sz w:val="32"/>
          <w:szCs w:val="32"/>
        </w:rPr>
      </w:pPr>
      <w:r>
        <w:rPr>
          <w:rFonts w:hint="eastAsia" w:ascii="仿宋_GB2312" w:eastAsia="仿宋_GB2312"/>
          <w:b/>
          <w:bCs/>
          <w:sz w:val="32"/>
          <w:szCs w:val="32"/>
        </w:rPr>
        <w:t>加快推行绿色生产方式。</w:t>
      </w:r>
      <w:r>
        <w:rPr>
          <w:rFonts w:hint="eastAsia" w:ascii="仿宋_GB2312" w:eastAsia="仿宋_GB2312"/>
          <w:sz w:val="32"/>
          <w:szCs w:val="32"/>
        </w:rPr>
        <w:t>健全绿色制造体系，支持企业推行绿色设计，推进产品全生命周期绿色管理，建设绿色工厂，</w:t>
      </w:r>
      <w:r>
        <w:rPr>
          <w:rFonts w:hint="eastAsia" w:ascii="仿宋_GB2312" w:hAnsi="仿宋_GB2312" w:eastAsia="仿宋_GB2312" w:cs="仿宋_GB2312"/>
          <w:sz w:val="32"/>
          <w:szCs w:val="32"/>
        </w:rPr>
        <w:t>进一步</w:t>
      </w:r>
      <w:r>
        <w:rPr>
          <w:rFonts w:hint="eastAsia" w:ascii="仿宋_GB2312" w:eastAsia="仿宋_GB2312"/>
          <w:sz w:val="32"/>
          <w:szCs w:val="32"/>
        </w:rPr>
        <w:t>完善绿色供应链。</w:t>
      </w:r>
      <w:r>
        <w:rPr>
          <w:rFonts w:hint="eastAsia" w:ascii="仿宋_GB2312" w:hAnsi="仿宋_GB2312" w:eastAsia="仿宋_GB2312" w:cs="仿宋_GB2312"/>
          <w:sz w:val="32"/>
          <w:szCs w:val="32"/>
        </w:rPr>
        <w:t>推动重点产业链中有特殊环保、能耗要求的关键核心环节进入专业工业园区，推动污染集中治理与达标排放，</w:t>
      </w:r>
      <w:r>
        <w:rPr>
          <w:rFonts w:hint="eastAsia" w:ascii="仿宋_GB2312" w:eastAsia="仿宋_GB2312"/>
          <w:sz w:val="32"/>
          <w:szCs w:val="32"/>
        </w:rPr>
        <w:t>打造绿色示范园区。大力发展循环经济，实施园区节能低碳和循环化改造，加快构建覆盖全社会的资源循环利用体系。严格实施强制性清洁生产审核，</w:t>
      </w:r>
      <w:r>
        <w:rPr>
          <w:rFonts w:hint="eastAsia" w:ascii="仿宋_GB2312" w:hAnsi="仿宋_GB2312" w:eastAsia="仿宋_GB2312" w:cs="仿宋_GB2312"/>
          <w:sz w:val="32"/>
          <w:szCs w:val="32"/>
        </w:rPr>
        <w:t>加大清洁生产改造力度，推动企业生产工艺、自动控制升级改造，淘汰高耗能、高污染、高环境风险的工艺设备。主要污染物完成国家和省下达的减排考核目标任务。</w:t>
      </w:r>
    </w:p>
    <w:p>
      <w:pPr>
        <w:spacing w:line="600" w:lineRule="exact"/>
        <w:ind w:firstLine="643" w:firstLineChars="200"/>
        <w:rPr>
          <w:rFonts w:ascii="仿宋_GB2312" w:hAnsi="仿宋_GB2312" w:eastAsia="仿宋_GB2312" w:cs="仿宋_GB2312"/>
          <w:color w:val="222222"/>
          <w:sz w:val="32"/>
          <w:szCs w:val="32"/>
        </w:rPr>
      </w:pPr>
      <w:r>
        <w:rPr>
          <w:rFonts w:hint="eastAsia" w:ascii="仿宋_GB2312" w:eastAsia="仿宋_GB2312"/>
          <w:b/>
          <w:sz w:val="32"/>
          <w:szCs w:val="32"/>
        </w:rPr>
        <w:t>打造全球可持续金融中心。</w:t>
      </w:r>
      <w:r>
        <w:rPr>
          <w:rFonts w:hint="eastAsia" w:ascii="仿宋_GB2312" w:eastAsia="仿宋_GB2312"/>
          <w:bCs/>
          <w:sz w:val="32"/>
          <w:szCs w:val="32"/>
        </w:rPr>
        <w:t>完善绿色金融政策体系，加强绿色金融区域合作与国际交流，</w:t>
      </w:r>
      <w:r>
        <w:rPr>
          <w:rFonts w:hint="eastAsia" w:ascii="仿宋_GB2312" w:hAnsi="等线" w:eastAsia="仿宋_GB2312"/>
          <w:sz w:val="32"/>
          <w:szCs w:val="32"/>
        </w:rPr>
        <w:t>推动制定粤港澳大湾区绿色金融标准</w:t>
      </w:r>
      <w:r>
        <w:rPr>
          <w:rFonts w:hint="eastAsia" w:ascii="仿宋_GB2312" w:eastAsia="仿宋_GB2312"/>
          <w:bCs/>
          <w:sz w:val="32"/>
          <w:szCs w:val="32"/>
        </w:rPr>
        <w:t>。完善气候投融资机制，</w:t>
      </w:r>
      <w:r>
        <w:rPr>
          <w:rFonts w:hint="eastAsia" w:ascii="仿宋_GB2312" w:hAnsi="仿宋_GB2312" w:eastAsia="仿宋_GB2312" w:cs="仿宋_GB2312"/>
          <w:sz w:val="32"/>
          <w:szCs w:val="32"/>
        </w:rPr>
        <w:t>推动建立深圳国家气候投融资促进中心。</w:t>
      </w:r>
      <w:r>
        <w:rPr>
          <w:rFonts w:hint="eastAsia" w:ascii="仿宋_GB2312" w:eastAsia="仿宋_GB2312" w:cs="黑体"/>
          <w:color w:val="000000"/>
          <w:sz w:val="32"/>
          <w:szCs w:val="32"/>
        </w:rPr>
        <w:t>创新绿色金融产品和服务，创建</w:t>
      </w:r>
      <w:r>
        <w:rPr>
          <w:rFonts w:hint="eastAsia" w:ascii="仿宋_GB2312" w:eastAsia="仿宋_GB2312"/>
          <w:bCs/>
          <w:sz w:val="32"/>
          <w:szCs w:val="32"/>
        </w:rPr>
        <w:t>国家绿色金融改革创新试验区。加大绿色金融的财税支持力度，支持设立绿色金融部门或绿色</w:t>
      </w:r>
      <w:r>
        <w:rPr>
          <w:rFonts w:hint="eastAsia" w:ascii="仿宋_GB2312" w:eastAsia="仿宋_GB2312" w:cs="黑体"/>
          <w:color w:val="000000"/>
          <w:sz w:val="32"/>
          <w:szCs w:val="32"/>
        </w:rPr>
        <w:t>支行。推进</w:t>
      </w:r>
      <w:bookmarkStart w:id="4521" w:name="_Hlk50365496"/>
      <w:r>
        <w:rPr>
          <w:rFonts w:hint="eastAsia" w:ascii="仿宋_GB2312" w:eastAsia="仿宋_GB2312" w:cs="黑体"/>
          <w:color w:val="000000"/>
          <w:sz w:val="32"/>
          <w:szCs w:val="32"/>
        </w:rPr>
        <w:t>社会影响力金融</w:t>
      </w:r>
      <w:bookmarkEnd w:id="4521"/>
      <w:r>
        <w:rPr>
          <w:rFonts w:hint="eastAsia" w:ascii="仿宋_GB2312" w:eastAsia="仿宋_GB2312" w:cs="黑体"/>
          <w:color w:val="000000"/>
          <w:sz w:val="32"/>
          <w:szCs w:val="32"/>
        </w:rPr>
        <w:t>发展，探索</w:t>
      </w:r>
      <w:r>
        <w:rPr>
          <w:rFonts w:hint="eastAsia" w:ascii="仿宋_GB2312" w:hAnsi="等线" w:eastAsia="仿宋_GB2312"/>
          <w:sz w:val="32"/>
          <w:szCs w:val="32"/>
        </w:rPr>
        <w:t>发行社会影响力债券、基金等产品，</w:t>
      </w:r>
      <w:r>
        <w:rPr>
          <w:rFonts w:hint="eastAsia" w:ascii="仿宋_GB2312" w:eastAsia="仿宋_GB2312" w:cs="黑体"/>
          <w:color w:val="000000"/>
          <w:sz w:val="32"/>
          <w:szCs w:val="32"/>
        </w:rPr>
        <w:t>举办全球社会影响力投资峰会、公益金融高端对话，办好深圳国际低碳城论坛和绿色发展城市高峰论坛。</w:t>
      </w:r>
      <w:bookmarkStart w:id="4522" w:name="_Toc20020"/>
      <w:r>
        <w:rPr>
          <w:rFonts w:hint="eastAsia" w:ascii="仿宋_GB2312" w:hAnsi="等线" w:eastAsia="仿宋_GB2312"/>
          <w:sz w:val="32"/>
          <w:szCs w:val="32"/>
        </w:rPr>
        <w:t>推动联合国开发计划署全球政策中心等重要国际可持续发展机构落地</w:t>
      </w:r>
      <w:r>
        <w:rPr>
          <w:rFonts w:hint="eastAsia" w:ascii="仿宋_GB2312" w:hAnsi="仿宋_GB2312" w:eastAsia="仿宋_GB2312" w:cs="仿宋_GB2312"/>
          <w:color w:val="222222"/>
          <w:sz w:val="32"/>
          <w:szCs w:val="32"/>
        </w:rPr>
        <w:t>。</w:t>
      </w:r>
    </w:p>
    <w:p>
      <w:pPr>
        <w:spacing w:line="600" w:lineRule="exact"/>
      </w:pPr>
    </w:p>
    <w:bookmarkEnd w:id="4522"/>
    <w:p>
      <w:pPr>
        <w:adjustRightInd w:val="0"/>
        <w:snapToGrid w:val="0"/>
        <w:spacing w:line="600" w:lineRule="exact"/>
        <w:jc w:val="center"/>
        <w:outlineLvl w:val="2"/>
        <w:rPr>
          <w:rFonts w:ascii="楷体" w:hAnsi="楷体" w:eastAsia="楷体" w:cs="楷体"/>
          <w:b/>
          <w:bCs/>
          <w:sz w:val="32"/>
          <w:szCs w:val="32"/>
        </w:rPr>
      </w:pPr>
      <w:bookmarkStart w:id="4523" w:name="_Toc17525"/>
      <w:bookmarkStart w:id="4524" w:name="_Toc27771"/>
      <w:bookmarkStart w:id="4525" w:name="_Toc31128"/>
      <w:bookmarkStart w:id="4526" w:name="_Toc16315"/>
      <w:bookmarkStart w:id="4527" w:name="_Toc23690"/>
      <w:bookmarkStart w:id="4528" w:name="_Toc203"/>
      <w:bookmarkStart w:id="4529" w:name="_Toc12096"/>
      <w:bookmarkStart w:id="4530" w:name="_Toc29770"/>
      <w:bookmarkStart w:id="4531" w:name="_Toc12600"/>
      <w:bookmarkStart w:id="4532" w:name="_Toc28053"/>
      <w:bookmarkStart w:id="4533" w:name="_Toc19359"/>
      <w:bookmarkStart w:id="4534" w:name="_Toc8869"/>
      <w:bookmarkStart w:id="4535" w:name="_Toc5132"/>
      <w:bookmarkStart w:id="4536" w:name="_Toc13310"/>
      <w:bookmarkStart w:id="4537" w:name="_Toc31096"/>
      <w:bookmarkStart w:id="4538" w:name="_Toc31202"/>
      <w:bookmarkStart w:id="4539" w:name="_Toc15779"/>
      <w:bookmarkStart w:id="4540" w:name="_Toc17325"/>
      <w:bookmarkStart w:id="4541" w:name="_Toc3525"/>
      <w:bookmarkStart w:id="4542" w:name="_Toc9654"/>
      <w:bookmarkStart w:id="4543" w:name="_Toc32335"/>
      <w:bookmarkStart w:id="4544" w:name="_Toc4933"/>
      <w:bookmarkStart w:id="4545" w:name="_Toc31852"/>
      <w:bookmarkStart w:id="4546" w:name="_Toc19081"/>
      <w:bookmarkStart w:id="4547" w:name="_Toc16672"/>
      <w:bookmarkStart w:id="4548" w:name="_Toc108"/>
      <w:bookmarkStart w:id="4549" w:name="_Toc21158"/>
      <w:bookmarkStart w:id="4550" w:name="_Toc25552"/>
      <w:bookmarkStart w:id="4551" w:name="_Toc19578"/>
      <w:bookmarkStart w:id="4552" w:name="_Toc14639"/>
      <w:bookmarkStart w:id="4553" w:name="_Toc4991"/>
      <w:bookmarkStart w:id="4554" w:name="_Toc15784"/>
      <w:bookmarkStart w:id="4555" w:name="_Toc27624"/>
      <w:bookmarkStart w:id="4556" w:name="_Toc27865"/>
      <w:bookmarkStart w:id="4557" w:name="_Toc1625"/>
      <w:bookmarkStart w:id="4558" w:name="_Toc27437"/>
      <w:bookmarkStart w:id="4559" w:name="_Toc6578"/>
      <w:bookmarkStart w:id="4560" w:name="_Toc16062"/>
      <w:bookmarkStart w:id="4561" w:name="_Toc16380"/>
      <w:bookmarkStart w:id="4562" w:name="_Toc29078"/>
      <w:bookmarkStart w:id="4563" w:name="_Toc2695"/>
      <w:bookmarkStart w:id="4564" w:name="_Toc10949"/>
      <w:bookmarkStart w:id="4565" w:name="_Toc65"/>
      <w:bookmarkStart w:id="4566" w:name="_Toc16093"/>
      <w:bookmarkStart w:id="4567" w:name="_Toc7587"/>
      <w:bookmarkStart w:id="4568" w:name="_Toc3131"/>
      <w:bookmarkStart w:id="4569" w:name="_Toc2914"/>
      <w:bookmarkStart w:id="4570" w:name="_Toc23306"/>
      <w:bookmarkStart w:id="4571" w:name="_Toc20097"/>
      <w:bookmarkStart w:id="4572" w:name="_Toc25670"/>
      <w:bookmarkStart w:id="4573" w:name="_Toc4739"/>
      <w:bookmarkStart w:id="4574" w:name="_Toc15036"/>
      <w:bookmarkStart w:id="4575" w:name="_Toc10278"/>
      <w:bookmarkStart w:id="4576" w:name="_Toc24069"/>
      <w:bookmarkStart w:id="4577" w:name="_Toc15419"/>
      <w:bookmarkStart w:id="4578" w:name="_Toc16883"/>
      <w:bookmarkStart w:id="4579" w:name="_Toc6095"/>
      <w:bookmarkStart w:id="4580" w:name="_Toc30427"/>
      <w:bookmarkStart w:id="4581" w:name="_Toc4690"/>
      <w:bookmarkStart w:id="4582" w:name="_Toc28906"/>
      <w:bookmarkStart w:id="4583" w:name="_Toc21743"/>
      <w:bookmarkStart w:id="4584" w:name="_Toc26857"/>
      <w:bookmarkStart w:id="4585" w:name="_Toc27493"/>
      <w:bookmarkStart w:id="4586" w:name="_Toc27571"/>
      <w:bookmarkStart w:id="4587" w:name="_Toc13562"/>
      <w:bookmarkStart w:id="4588" w:name="_Toc32765"/>
      <w:bookmarkStart w:id="4589" w:name="_Toc22392"/>
      <w:bookmarkStart w:id="4590" w:name="_Toc32679"/>
      <w:bookmarkStart w:id="4591" w:name="_Toc5509"/>
      <w:bookmarkStart w:id="4592" w:name="_Toc17817"/>
      <w:bookmarkStart w:id="4593" w:name="_Toc26896"/>
      <w:bookmarkStart w:id="4594" w:name="_Toc22097"/>
      <w:r>
        <w:rPr>
          <w:rFonts w:hint="eastAsia" w:ascii="楷体" w:hAnsi="楷体" w:eastAsia="楷体" w:cs="楷体"/>
          <w:b/>
          <w:bCs/>
          <w:sz w:val="32"/>
          <w:szCs w:val="32"/>
        </w:rPr>
        <w:t>第二节</w:t>
      </w:r>
      <w:r>
        <w:rPr>
          <w:rFonts w:ascii="楷体" w:hAnsi="楷体" w:eastAsia="楷体" w:cs="楷体"/>
          <w:b/>
          <w:bCs/>
          <w:sz w:val="32"/>
          <w:szCs w:val="32"/>
        </w:rPr>
        <w:t xml:space="preserve"> </w:t>
      </w:r>
      <w:r>
        <w:rPr>
          <w:rFonts w:hint="eastAsia" w:ascii="楷体" w:hAnsi="楷体" w:eastAsia="楷体" w:cs="楷体"/>
          <w:b/>
          <w:bCs/>
          <w:sz w:val="32"/>
          <w:szCs w:val="32"/>
        </w:rPr>
        <w:t>推进资源节约集约利用</w:t>
      </w:r>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p>
    <w:p>
      <w:pPr>
        <w:spacing w:line="600" w:lineRule="exact"/>
        <w:ind w:firstLine="643" w:firstLineChars="200"/>
        <w:rPr>
          <w:rFonts w:ascii="仿宋_GB2312" w:eastAsia="仿宋_GB2312"/>
          <w:sz w:val="32"/>
          <w:szCs w:val="32"/>
        </w:rPr>
      </w:pPr>
      <w:r>
        <w:rPr>
          <w:rFonts w:hint="eastAsia" w:ascii="仿宋_GB2312" w:hAnsi="仿宋_GB2312" w:eastAsia="仿宋_GB2312" w:cs="仿宋_GB2312"/>
          <w:b/>
          <w:bCs/>
          <w:sz w:val="32"/>
          <w:szCs w:val="32"/>
        </w:rPr>
        <w:t>积极主动应对气候变化</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制定二氧化碳排放达峰行动方案，</w:t>
      </w:r>
      <w:r>
        <w:rPr>
          <w:rFonts w:hint="eastAsia" w:ascii="仿宋_GB2312" w:eastAsia="仿宋_GB2312"/>
          <w:sz w:val="32"/>
          <w:szCs w:val="32"/>
        </w:rPr>
        <w:t>推进工业、建筑、交通运输、公共机构、数字基础设施等重点领域节能低碳化，鼓励重点用能单位提高综合能效。完善碳排放权交易、碳汇补偿等市场化机制，</w:t>
      </w:r>
      <w:r>
        <w:rPr>
          <w:rFonts w:hint="eastAsia" w:ascii="仿宋_GB2312" w:hAnsi="仿宋_GB2312" w:eastAsia="仿宋_GB2312" w:cs="仿宋_GB2312"/>
          <w:sz w:val="32"/>
          <w:szCs w:val="32"/>
        </w:rPr>
        <w:t>建立</w:t>
      </w:r>
      <w:r>
        <w:rPr>
          <w:rFonts w:hint="eastAsia" w:ascii="仿宋_GB2312" w:eastAsia="仿宋_GB2312"/>
          <w:sz w:val="32"/>
          <w:szCs w:val="32"/>
        </w:rPr>
        <w:t>与碳达峰、碳中和相适应的政策体系。构建低碳能源体系，推动清洁能源成为能源增量主体。继续实施能源消耗总量和强度“双控”行动，严格落实节能审查制度，强化节能审查事中事后监管。</w:t>
      </w:r>
      <w:r>
        <w:rPr>
          <w:rFonts w:hint="eastAsia" w:ascii="仿宋_GB2312" w:hAnsi="仿宋_GB2312" w:eastAsia="仿宋_GB2312" w:cs="仿宋_GB2312"/>
          <w:sz w:val="32"/>
          <w:szCs w:val="32"/>
        </w:rPr>
        <w:t>深化气候变化领域基于自然的解决方案，完善城市关键基础设施设计、施工和建设标准。健全极端天气的应急和响应机制，逐步建立极端天气气候事件灾害风险分担转移机制。推动低碳试点示范深化创新</w:t>
      </w:r>
      <w:r>
        <w:rPr>
          <w:rFonts w:hint="eastAsia" w:ascii="仿宋_GB2312" w:eastAsia="仿宋_GB2312"/>
          <w:sz w:val="32"/>
          <w:szCs w:val="32"/>
        </w:rPr>
        <w:t>，建立产品碳足迹评价标准体系，加快国际低碳城建设，探索实施零碳、近零碳示范工程。</w:t>
      </w:r>
    </w:p>
    <w:p>
      <w:pPr>
        <w:overflowPunct w:val="0"/>
        <w:adjustRightInd w:val="0"/>
        <w:snapToGrid w:val="0"/>
        <w:spacing w:line="600" w:lineRule="exact"/>
        <w:ind w:firstLine="643" w:firstLineChars="200"/>
        <w:rPr>
          <w:rFonts w:ascii="仿宋_GB2312" w:eastAsia="仿宋_GB2312"/>
          <w:sz w:val="32"/>
          <w:szCs w:val="32"/>
        </w:rPr>
      </w:pPr>
      <w:r>
        <w:rPr>
          <w:rFonts w:hint="eastAsia" w:ascii="仿宋_GB2312" w:hAnsi="仿宋_GB2312" w:eastAsia="仿宋_GB2312" w:cs="仿宋_GB2312"/>
          <w:b/>
          <w:bCs/>
          <w:sz w:val="32"/>
          <w:szCs w:val="32"/>
        </w:rPr>
        <w:t>深化</w:t>
      </w:r>
      <w:r>
        <w:rPr>
          <w:rFonts w:hint="eastAsia" w:ascii="仿宋_GB2312" w:eastAsia="仿宋_GB2312"/>
          <w:b/>
          <w:sz w:val="32"/>
          <w:szCs w:val="32"/>
        </w:rPr>
        <w:t>“无废城市”建设。</w:t>
      </w:r>
      <w:r>
        <w:rPr>
          <w:rFonts w:hint="eastAsia" w:ascii="仿宋_GB2312" w:eastAsia="仿宋_GB2312"/>
          <w:sz w:val="32"/>
          <w:szCs w:val="32"/>
        </w:rPr>
        <w:t>推进固体废物源头减量化、无害化、资源化</w:t>
      </w:r>
      <w:r>
        <w:rPr>
          <w:rFonts w:hint="eastAsia" w:ascii="仿宋_GB2312" w:hAnsi="仿宋_GB2312" w:eastAsia="仿宋_GB2312" w:cs="仿宋_GB2312"/>
          <w:sz w:val="32"/>
          <w:szCs w:val="32"/>
        </w:rPr>
        <w:t>、低碳化</w:t>
      </w:r>
      <w:r>
        <w:rPr>
          <w:rFonts w:hint="eastAsia" w:ascii="仿宋_GB2312" w:eastAsia="仿宋_GB2312"/>
          <w:sz w:val="32"/>
          <w:szCs w:val="32"/>
        </w:rPr>
        <w:t>治理，打造健康城市“代谢系统”。加快垃圾减量分类，健全再生资源回收体系和生活垃圾分类收运体系“两网融合”，加快生活垃圾处理设施产业化、园区化、去工业化建设改造。实行生产者责任延伸制度，构建新能源汽车动力电池逆向回收体系。</w:t>
      </w:r>
      <w:r>
        <w:rPr>
          <w:rFonts w:hint="eastAsia" w:ascii="仿宋_GB2312" w:hAnsi="仿宋" w:eastAsia="仿宋_GB2312" w:cs="仿宋"/>
          <w:kern w:val="0"/>
          <w:sz w:val="32"/>
          <w:szCs w:val="32"/>
        </w:rPr>
        <w:t>加快水质净化厂污泥处理设施建设</w:t>
      </w:r>
      <w:r>
        <w:rPr>
          <w:rFonts w:hint="eastAsia" w:ascii="仿宋_GB2312" w:hAnsi="仿宋_GB2312" w:eastAsia="仿宋_GB2312" w:cs="仿宋_GB2312"/>
          <w:sz w:val="32"/>
          <w:szCs w:val="32"/>
        </w:rPr>
        <w:t>，推进生活污泥能源化利用</w:t>
      </w:r>
      <w:r>
        <w:rPr>
          <w:rFonts w:hint="eastAsia" w:ascii="仿宋_GB2312" w:hAnsi="仿宋_GB2312" w:eastAsia="仿宋_GB2312" w:cs="仿宋_GB2312"/>
          <w:bCs/>
          <w:color w:val="000000"/>
          <w:sz w:val="32"/>
          <w:szCs w:val="32"/>
        </w:rPr>
        <w:t>。</w:t>
      </w:r>
      <w:r>
        <w:rPr>
          <w:rFonts w:hint="eastAsia" w:ascii="仿宋_GB2312" w:eastAsia="仿宋_GB2312"/>
          <w:sz w:val="32"/>
          <w:szCs w:val="32"/>
        </w:rPr>
        <w:t>加强建筑废弃物规范化管理与资源化利用。加强白色污染治理，推动医疗废物、化学品等危险废物处理全过程管控，重视新污染物治理。到2025年，生活垃圾回收利用率达50%，一般工业固体废物综合利用率达92%。</w:t>
      </w:r>
    </w:p>
    <w:p>
      <w:pPr>
        <w:spacing w:line="580" w:lineRule="exact"/>
        <w:ind w:firstLine="643" w:firstLineChars="200"/>
        <w:rPr>
          <w:rFonts w:ascii="仿宋_GB2312" w:eastAsia="仿宋_GB2312"/>
          <w:sz w:val="32"/>
          <w:szCs w:val="32"/>
        </w:rPr>
      </w:pPr>
      <w:r>
        <w:rPr>
          <w:rFonts w:hint="eastAsia" w:ascii="仿宋_GB2312" w:eastAsia="仿宋_GB2312"/>
          <w:b/>
          <w:sz w:val="32"/>
          <w:szCs w:val="32"/>
        </w:rPr>
        <w:t>打造全国节水典范城市。</w:t>
      </w:r>
      <w:r>
        <w:rPr>
          <w:rFonts w:hint="eastAsia" w:ascii="仿宋_GB2312" w:eastAsia="仿宋_GB2312"/>
          <w:bCs/>
          <w:sz w:val="32"/>
          <w:szCs w:val="32"/>
        </w:rPr>
        <w:t>建立水资源刚性约束制度，</w:t>
      </w:r>
      <w:r>
        <w:rPr>
          <w:rFonts w:ascii="仿宋_GB2312" w:eastAsia="仿宋_GB2312"/>
          <w:sz w:val="32"/>
          <w:szCs w:val="32"/>
        </w:rPr>
        <w:t>强化用水总量和强度控制，</w:t>
      </w:r>
      <w:r>
        <w:rPr>
          <w:rFonts w:hint="eastAsia" w:ascii="仿宋_GB2312" w:eastAsia="仿宋_GB2312"/>
          <w:bCs/>
          <w:sz w:val="32"/>
          <w:szCs w:val="32"/>
        </w:rPr>
        <w:t>科学制定用水定额并动态调整，</w:t>
      </w:r>
      <w:r>
        <w:rPr>
          <w:rFonts w:hint="eastAsia" w:ascii="仿宋_GB2312" w:eastAsia="仿宋_GB2312"/>
          <w:sz w:val="32"/>
          <w:szCs w:val="32"/>
        </w:rPr>
        <w:t>制定年度用水计划，</w:t>
      </w:r>
      <w:r>
        <w:rPr>
          <w:rFonts w:ascii="仿宋_GB2312" w:eastAsia="仿宋_GB2312"/>
          <w:sz w:val="32"/>
          <w:szCs w:val="32"/>
        </w:rPr>
        <w:t>严格取水许可和计划用水管理</w:t>
      </w:r>
      <w:r>
        <w:rPr>
          <w:rFonts w:hint="eastAsia" w:ascii="仿宋_GB2312" w:eastAsia="仿宋_GB2312"/>
          <w:sz w:val="32"/>
          <w:szCs w:val="32"/>
        </w:rPr>
        <w:t>。完善节水激励机制</w:t>
      </w:r>
      <w:r>
        <w:rPr>
          <w:rFonts w:ascii="仿宋_GB2312" w:eastAsia="仿宋_GB2312"/>
          <w:sz w:val="32"/>
          <w:szCs w:val="32"/>
        </w:rPr>
        <w:t>，</w:t>
      </w:r>
      <w:r>
        <w:rPr>
          <w:rFonts w:hint="eastAsia" w:ascii="仿宋_GB2312" w:eastAsia="仿宋_GB2312"/>
          <w:sz w:val="32"/>
          <w:szCs w:val="32"/>
        </w:rPr>
        <w:t>推动水效标识、水效领跑、合同节水等市场机制创新，强化科技节水支撑。实施行业深度节水行动，降低供水管网漏损率，</w:t>
      </w:r>
      <w:r>
        <w:rPr>
          <w:rFonts w:hint="eastAsia" w:ascii="仿宋_GB2312" w:hAnsi="宋体" w:eastAsia="仿宋_GB2312" w:cs="宋体"/>
          <w:kern w:val="0"/>
          <w:sz w:val="32"/>
          <w:szCs w:val="32"/>
        </w:rPr>
        <w:t>推动新建大型公共建筑落实节水措施，建设和使用雨水集蓄利用系统。</w:t>
      </w:r>
      <w:r>
        <w:rPr>
          <w:rFonts w:hint="eastAsia" w:ascii="仿宋_GB2312" w:hAnsi="Times New Roman" w:eastAsia="仿宋_GB2312"/>
          <w:sz w:val="32"/>
          <w:szCs w:val="32"/>
        </w:rPr>
        <w:t>加强再生水、海水等非传统水资源的开发利用，</w:t>
      </w:r>
      <w:r>
        <w:rPr>
          <w:rFonts w:hint="eastAsia" w:ascii="仿宋_GB2312" w:eastAsia="仿宋_GB2312"/>
          <w:sz w:val="32"/>
          <w:szCs w:val="32"/>
        </w:rPr>
        <w:t>实施非常规水资源利用工程。到2</w:t>
      </w:r>
      <w:r>
        <w:rPr>
          <w:rFonts w:ascii="仿宋_GB2312" w:eastAsia="仿宋_GB2312"/>
          <w:sz w:val="32"/>
          <w:szCs w:val="32"/>
        </w:rPr>
        <w:t>025</w:t>
      </w:r>
      <w:r>
        <w:rPr>
          <w:rFonts w:hint="eastAsia" w:ascii="仿宋_GB2312" w:eastAsia="仿宋_GB2312"/>
          <w:sz w:val="32"/>
          <w:szCs w:val="32"/>
        </w:rPr>
        <w:t>年，</w:t>
      </w:r>
      <w:r>
        <w:rPr>
          <w:rFonts w:hint="eastAsia" w:ascii="仿宋_GB2312" w:hAnsi="仿宋_GB2312" w:eastAsia="仿宋_GB2312" w:cs="仿宋_GB2312"/>
          <w:sz w:val="32"/>
          <w:szCs w:val="32"/>
        </w:rPr>
        <w:t>再生水利用率达到80%以上。</w:t>
      </w:r>
    </w:p>
    <w:p>
      <w:pPr>
        <w:pStyle w:val="8"/>
        <w:spacing w:line="580" w:lineRule="exact"/>
        <w:ind w:firstLine="0" w:firstLineChars="0"/>
      </w:pPr>
    </w:p>
    <w:p>
      <w:pPr>
        <w:adjustRightInd w:val="0"/>
        <w:snapToGrid w:val="0"/>
        <w:spacing w:line="580" w:lineRule="exact"/>
        <w:jc w:val="center"/>
        <w:outlineLvl w:val="2"/>
        <w:rPr>
          <w:rFonts w:ascii="楷体" w:hAnsi="楷体" w:eastAsia="楷体" w:cs="楷体"/>
          <w:b/>
          <w:bCs/>
          <w:color w:val="FF0000"/>
          <w:sz w:val="32"/>
          <w:szCs w:val="32"/>
        </w:rPr>
      </w:pPr>
      <w:bookmarkStart w:id="4595" w:name="_Toc16727"/>
      <w:bookmarkStart w:id="4596" w:name="_Toc29374"/>
      <w:bookmarkStart w:id="4597" w:name="_Toc9248"/>
      <w:bookmarkStart w:id="4598" w:name="_Toc21724"/>
      <w:bookmarkStart w:id="4599" w:name="_Toc31058"/>
      <w:bookmarkStart w:id="4600" w:name="_Toc17487"/>
      <w:bookmarkStart w:id="4601" w:name="_Toc23097"/>
      <w:bookmarkStart w:id="4602" w:name="_Toc20190"/>
      <w:bookmarkStart w:id="4603" w:name="_Toc5411"/>
      <w:bookmarkStart w:id="4604" w:name="_Toc24973"/>
      <w:bookmarkStart w:id="4605" w:name="_Toc24342"/>
      <w:bookmarkStart w:id="4606" w:name="_Toc22823"/>
      <w:bookmarkStart w:id="4607" w:name="_Toc16086"/>
      <w:bookmarkStart w:id="4608" w:name="_Toc14314"/>
      <w:bookmarkStart w:id="4609" w:name="_Toc7315"/>
      <w:bookmarkStart w:id="4610" w:name="_Toc32750"/>
      <w:bookmarkStart w:id="4611" w:name="_Toc30310"/>
      <w:bookmarkStart w:id="4612" w:name="_Toc2488"/>
      <w:bookmarkStart w:id="4613" w:name="_Toc10971"/>
      <w:bookmarkStart w:id="4614" w:name="_Toc24153"/>
      <w:bookmarkStart w:id="4615" w:name="_Toc1302"/>
      <w:bookmarkStart w:id="4616" w:name="_Toc1827"/>
      <w:bookmarkStart w:id="4617" w:name="_Toc16602"/>
      <w:bookmarkStart w:id="4618" w:name="_Toc23130"/>
      <w:bookmarkStart w:id="4619" w:name="_Toc13434"/>
      <w:bookmarkStart w:id="4620" w:name="_Toc15411"/>
      <w:bookmarkStart w:id="4621" w:name="_Toc8396"/>
      <w:bookmarkStart w:id="4622" w:name="_Toc24691"/>
      <w:bookmarkStart w:id="4623" w:name="_Toc11333"/>
      <w:bookmarkStart w:id="4624" w:name="_Toc10215"/>
      <w:bookmarkStart w:id="4625" w:name="_Toc12747"/>
      <w:bookmarkStart w:id="4626" w:name="_Toc17776"/>
      <w:bookmarkStart w:id="4627" w:name="_Toc2729"/>
      <w:bookmarkStart w:id="4628" w:name="_Toc5114"/>
      <w:bookmarkStart w:id="4629" w:name="_Toc15475"/>
      <w:bookmarkStart w:id="4630" w:name="_Toc29469"/>
      <w:bookmarkStart w:id="4631" w:name="_Toc11193"/>
      <w:bookmarkStart w:id="4632" w:name="_Toc20513"/>
      <w:bookmarkStart w:id="4633" w:name="_Toc2215"/>
      <w:bookmarkStart w:id="4634" w:name="_Toc7193"/>
      <w:bookmarkStart w:id="4635" w:name="_Toc22165"/>
      <w:bookmarkStart w:id="4636" w:name="_Toc20833"/>
      <w:bookmarkStart w:id="4637" w:name="_Toc27340"/>
      <w:bookmarkStart w:id="4638" w:name="_Toc8507"/>
      <w:bookmarkStart w:id="4639" w:name="_Toc19454"/>
      <w:bookmarkStart w:id="4640" w:name="_Toc31914"/>
      <w:bookmarkStart w:id="4641" w:name="_Toc1684"/>
      <w:bookmarkStart w:id="4642" w:name="_Toc14953"/>
      <w:bookmarkStart w:id="4643" w:name="_Toc24604"/>
      <w:bookmarkStart w:id="4644" w:name="_Toc671"/>
      <w:bookmarkStart w:id="4645" w:name="_Toc11624"/>
      <w:bookmarkStart w:id="4646" w:name="_Toc6522"/>
      <w:bookmarkStart w:id="4647" w:name="_Toc13150"/>
      <w:bookmarkStart w:id="4648" w:name="_Toc15376"/>
      <w:bookmarkStart w:id="4649" w:name="_Toc11897"/>
      <w:bookmarkStart w:id="4650" w:name="_Toc1368"/>
      <w:bookmarkStart w:id="4651" w:name="_Toc20709"/>
      <w:bookmarkStart w:id="4652" w:name="_Toc25691"/>
      <w:bookmarkStart w:id="4653" w:name="_Toc21865"/>
      <w:bookmarkStart w:id="4654" w:name="_Toc8881"/>
      <w:bookmarkStart w:id="4655" w:name="_Toc1957"/>
      <w:bookmarkStart w:id="4656" w:name="_Toc25863"/>
      <w:bookmarkStart w:id="4657" w:name="_Toc10324"/>
      <w:bookmarkStart w:id="4658" w:name="_Toc27082"/>
      <w:bookmarkStart w:id="4659" w:name="_Toc23516"/>
      <w:bookmarkStart w:id="4660" w:name="_Toc20032"/>
      <w:bookmarkStart w:id="4661" w:name="_Toc27041"/>
      <w:bookmarkStart w:id="4662" w:name="_Toc17873"/>
      <w:bookmarkStart w:id="4663" w:name="_Toc17182"/>
      <w:bookmarkStart w:id="4664" w:name="_Toc21589"/>
      <w:bookmarkStart w:id="4665" w:name="_Toc24984"/>
      <w:r>
        <w:rPr>
          <w:rFonts w:hint="eastAsia" w:ascii="楷体" w:hAnsi="楷体" w:eastAsia="楷体" w:cs="楷体"/>
          <w:b/>
          <w:bCs/>
          <w:sz w:val="32"/>
          <w:szCs w:val="32"/>
        </w:rPr>
        <w:t>第三节</w:t>
      </w:r>
      <w:r>
        <w:rPr>
          <w:rFonts w:ascii="楷体" w:hAnsi="楷体" w:eastAsia="楷体" w:cs="楷体"/>
          <w:b/>
          <w:bCs/>
          <w:sz w:val="32"/>
          <w:szCs w:val="32"/>
        </w:rPr>
        <w:t xml:space="preserve"> </w:t>
      </w:r>
      <w:r>
        <w:rPr>
          <w:rFonts w:hint="eastAsia" w:ascii="楷体" w:hAnsi="楷体" w:eastAsia="楷体" w:cs="楷体"/>
          <w:b/>
          <w:bCs/>
          <w:sz w:val="32"/>
          <w:szCs w:val="32"/>
        </w:rPr>
        <w:t>引导全民践行绿色生活</w:t>
      </w:r>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p>
    <w:p>
      <w:pPr>
        <w:overflowPunct w:val="0"/>
        <w:adjustRightInd w:val="0"/>
        <w:snapToGrid w:val="0"/>
        <w:spacing w:line="580" w:lineRule="exact"/>
        <w:ind w:firstLine="643" w:firstLineChars="200"/>
        <w:rPr>
          <w:rFonts w:ascii="仿宋_GB2312" w:hAnsi="仿宋_GB2312" w:eastAsia="仿宋_GB2312" w:cs="仿宋_GB2312"/>
          <w:sz w:val="32"/>
          <w:szCs w:val="32"/>
        </w:rPr>
      </w:pPr>
      <w:r>
        <w:rPr>
          <w:rFonts w:hint="eastAsia" w:ascii="仿宋_GB2312" w:eastAsia="仿宋_GB2312"/>
          <w:b/>
          <w:bCs/>
          <w:sz w:val="32"/>
          <w:szCs w:val="32"/>
        </w:rPr>
        <w:t>开展绿色生活创建行动</w:t>
      </w:r>
      <w:r>
        <w:rPr>
          <w:rFonts w:hint="eastAsia" w:ascii="仿宋_GB2312" w:hAnsi="仿宋_GB2312" w:eastAsia="仿宋_GB2312" w:cs="仿宋_GB2312"/>
          <w:b/>
          <w:bCs/>
          <w:sz w:val="32"/>
          <w:szCs w:val="32"/>
        </w:rPr>
        <w:t>。</w:t>
      </w:r>
      <w:r>
        <w:rPr>
          <w:rFonts w:hint="eastAsia" w:ascii="仿宋_GB2312" w:eastAsia="仿宋_GB2312"/>
          <w:sz w:val="32"/>
          <w:szCs w:val="32"/>
        </w:rPr>
        <w:t>推进货运车辆电动化清洁化，推动充换电、加注LNG、加氢等</w:t>
      </w:r>
      <w:r>
        <w:rPr>
          <w:rFonts w:hint="eastAsia" w:ascii="仿宋_GB2312" w:hAnsi="仿宋_GB2312" w:eastAsia="仿宋_GB2312" w:cs="仿宋_GB2312"/>
          <w:sz w:val="32"/>
          <w:szCs w:val="32"/>
        </w:rPr>
        <w:t>交通设施建设，加快既有交通设施绿色改造。鼓励绿色消费，倡导“光盘行动”，抵制餐饮浪费。完善产品环保强制性地方标准，</w:t>
      </w:r>
      <w:r>
        <w:rPr>
          <w:rFonts w:hint="eastAsia" w:ascii="仿宋_GB2312" w:hAnsi="仿宋" w:eastAsia="仿宋_GB2312"/>
          <w:sz w:val="32"/>
          <w:szCs w:val="32"/>
        </w:rPr>
        <w:t>全面禁止生产、销售和使用一次性不可降解塑料制品</w:t>
      </w:r>
      <w:r>
        <w:rPr>
          <w:rFonts w:hint="eastAsia" w:ascii="仿宋_GB2312" w:hAnsi="仿宋_GB2312" w:eastAsia="仿宋_GB2312" w:cs="仿宋_GB2312"/>
          <w:sz w:val="32"/>
          <w:szCs w:val="32"/>
        </w:rPr>
        <w:t>。推动</w:t>
      </w:r>
      <w:r>
        <w:rPr>
          <w:rStyle w:val="56"/>
        </w:rPr>
        <w:t>快递行业废弃包装物源头</w:t>
      </w:r>
      <w:r>
        <w:rPr>
          <w:rStyle w:val="56"/>
          <w:rFonts w:hint="eastAsia"/>
        </w:rPr>
        <w:t>减量，鼓励企业利用可循环快件总包，推广使用可降解的快递物料。完善政府绿色采购政策，扩大政府绿色采购范围。鼓励电子商务企业销售绿色产品，</w:t>
      </w:r>
      <w:r>
        <w:rPr>
          <w:rFonts w:hint="eastAsia" w:ascii="仿宋_GB2312" w:hAnsi="仿宋_GB2312" w:eastAsia="仿宋_GB2312" w:cs="仿宋_GB2312"/>
          <w:sz w:val="32"/>
          <w:szCs w:val="32"/>
        </w:rPr>
        <w:t>畅通绿色产品销售渠道。</w:t>
      </w:r>
    </w:p>
    <w:p>
      <w:pPr>
        <w:overflowPunct w:val="0"/>
        <w:adjustRightInd w:val="0"/>
        <w:snapToGrid w:val="0"/>
        <w:spacing w:line="58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大力弘扬绿色文化。</w:t>
      </w:r>
      <w:r>
        <w:rPr>
          <w:rFonts w:hint="eastAsia" w:ascii="仿宋_GB2312" w:hAnsi="仿宋_GB2312" w:eastAsia="仿宋_GB2312" w:cs="仿宋_GB2312"/>
          <w:sz w:val="32"/>
          <w:szCs w:val="32"/>
        </w:rPr>
        <w:t>倡导绿色价值观，编制</w:t>
      </w:r>
      <w:r>
        <w:rPr>
          <w:rFonts w:hint="eastAsia" w:ascii="仿宋_GB2312" w:hAnsi="仿宋_GB2312" w:eastAsia="仿宋_GB2312" w:cs="仿宋_GB2312"/>
          <w:bCs/>
          <w:sz w:val="32"/>
          <w:szCs w:val="32"/>
        </w:rPr>
        <w:t>地方性环境保护科普读物，培育全民节约意识、环保意识、生态意识。加大环境公益广告宣传力度，用好新媒体、新载体，营造浓厚的绿色文化氛围。开展生态文明教育，推动环境教育基地和自然学校向公众开放，建设一批国家级自然学校。</w:t>
      </w:r>
      <w:r>
        <w:rPr>
          <w:rFonts w:hint="eastAsia" w:ascii="仿宋_GB2312" w:hAnsi="仿宋_GB2312" w:eastAsia="仿宋_GB2312" w:cs="仿宋_GB2312"/>
          <w:bCs/>
          <w:sz w:val="32"/>
          <w:szCs w:val="32"/>
        </w:rPr>
        <w:br w:type="page"/>
      </w:r>
    </w:p>
    <w:p>
      <w:pPr>
        <w:adjustRightInd w:val="0"/>
        <w:snapToGrid w:val="0"/>
        <w:spacing w:line="600" w:lineRule="exact"/>
        <w:ind w:firstLine="1440" w:firstLineChars="400"/>
        <w:outlineLvl w:val="1"/>
        <w:rPr>
          <w:rFonts w:ascii="黑体" w:hAnsi="黑体" w:eastAsia="黑体" w:cs="黑体"/>
          <w:sz w:val="36"/>
          <w:szCs w:val="36"/>
        </w:rPr>
      </w:pPr>
      <w:bookmarkStart w:id="4666" w:name="_Toc17984"/>
      <w:bookmarkStart w:id="4667" w:name="_Toc1035"/>
      <w:bookmarkStart w:id="4668" w:name="_Toc3508"/>
      <w:bookmarkStart w:id="4669" w:name="_Toc13897"/>
      <w:bookmarkStart w:id="4670" w:name="_Toc21827"/>
      <w:bookmarkStart w:id="4671" w:name="_Toc11526"/>
      <w:bookmarkStart w:id="4672" w:name="_Toc25933"/>
      <w:bookmarkStart w:id="4673" w:name="_Toc3970"/>
      <w:bookmarkStart w:id="4674" w:name="_Toc27134"/>
      <w:bookmarkStart w:id="4675" w:name="_Toc9287"/>
      <w:bookmarkStart w:id="4676" w:name="_Toc21194"/>
      <w:bookmarkStart w:id="4677" w:name="_Toc15894"/>
      <w:bookmarkStart w:id="4678" w:name="_Toc14091"/>
      <w:bookmarkStart w:id="4679" w:name="_Toc28097"/>
      <w:bookmarkStart w:id="4680" w:name="_Toc11197"/>
      <w:bookmarkStart w:id="4681" w:name="_Toc4334"/>
      <w:bookmarkStart w:id="4682" w:name="_Toc1591"/>
      <w:bookmarkStart w:id="4683" w:name="_Toc8485"/>
      <w:bookmarkStart w:id="4684" w:name="_Toc24056"/>
      <w:bookmarkStart w:id="4685" w:name="_Toc25075"/>
      <w:bookmarkStart w:id="4686" w:name="_Toc20910"/>
      <w:bookmarkStart w:id="4687" w:name="_Toc24657"/>
      <w:bookmarkStart w:id="4688" w:name="_Toc21847"/>
      <w:bookmarkStart w:id="4689" w:name="_Toc23459"/>
      <w:bookmarkStart w:id="4690" w:name="_Toc16540"/>
      <w:bookmarkStart w:id="4691" w:name="_Toc21678"/>
      <w:bookmarkStart w:id="4692" w:name="_Toc15958"/>
      <w:bookmarkStart w:id="4693" w:name="_Toc2514"/>
      <w:bookmarkStart w:id="4694" w:name="_Toc12555"/>
      <w:bookmarkStart w:id="4695" w:name="_Toc23105"/>
      <w:bookmarkStart w:id="4696" w:name="_Toc22030"/>
      <w:bookmarkStart w:id="4697" w:name="_Toc12959"/>
      <w:bookmarkStart w:id="4698" w:name="_Toc1178"/>
      <w:bookmarkStart w:id="4699" w:name="_Toc22416"/>
      <w:bookmarkStart w:id="4700" w:name="_Toc8321"/>
      <w:bookmarkStart w:id="4701" w:name="_Toc30512"/>
      <w:bookmarkStart w:id="4702" w:name="_Toc26208"/>
      <w:bookmarkStart w:id="4703" w:name="_Toc25019"/>
      <w:bookmarkStart w:id="4704" w:name="_Toc9633"/>
      <w:bookmarkStart w:id="4705" w:name="_Toc10033"/>
      <w:bookmarkStart w:id="4706" w:name="_Toc28669"/>
      <w:bookmarkStart w:id="4707" w:name="_Toc11720"/>
      <w:bookmarkStart w:id="4708" w:name="_Toc22277"/>
      <w:bookmarkStart w:id="4709" w:name="_Toc20216"/>
      <w:bookmarkStart w:id="4710" w:name="_Toc2860"/>
      <w:bookmarkStart w:id="4711" w:name="_Toc29674"/>
      <w:bookmarkStart w:id="4712" w:name="_Toc9872"/>
      <w:bookmarkStart w:id="4713" w:name="_Toc4638"/>
      <w:bookmarkStart w:id="4714" w:name="_Toc4306"/>
      <w:bookmarkStart w:id="4715" w:name="_Toc27565"/>
      <w:bookmarkStart w:id="4716" w:name="_Toc16244"/>
      <w:bookmarkStart w:id="4717" w:name="_Toc21946"/>
      <w:bookmarkStart w:id="4718" w:name="_Toc21560"/>
      <w:bookmarkStart w:id="4719" w:name="_Toc3664"/>
      <w:bookmarkStart w:id="4720" w:name="_Toc3522"/>
      <w:bookmarkStart w:id="4721" w:name="_Toc21262"/>
      <w:bookmarkStart w:id="4722" w:name="_Toc27290"/>
      <w:bookmarkStart w:id="4723" w:name="_Toc20059"/>
      <w:bookmarkStart w:id="4724" w:name="_Toc4804"/>
      <w:bookmarkStart w:id="4725" w:name="_Toc5191"/>
      <w:bookmarkStart w:id="4726" w:name="_Toc30250"/>
      <w:bookmarkStart w:id="4727" w:name="_Toc27117"/>
      <w:bookmarkStart w:id="4728" w:name="_Toc16043"/>
      <w:bookmarkStart w:id="4729" w:name="_Toc25181"/>
      <w:bookmarkStart w:id="4730" w:name="_Toc25300"/>
      <w:bookmarkStart w:id="4731" w:name="_Toc14832"/>
      <w:bookmarkStart w:id="4732" w:name="_Toc18065"/>
      <w:bookmarkStart w:id="4733" w:name="_Toc1072"/>
      <w:bookmarkStart w:id="4734" w:name="_Toc7097"/>
      <w:bookmarkStart w:id="4735" w:name="_Toc21406"/>
      <w:bookmarkStart w:id="4736" w:name="_Toc27816"/>
      <w:bookmarkStart w:id="4737" w:name="_Toc22891"/>
      <w:bookmarkStart w:id="4738" w:name="_Toc3703"/>
      <w:r>
        <w:rPr>
          <w:rFonts w:hint="eastAsia" w:ascii="黑体" w:hAnsi="黑体" w:eastAsia="黑体" w:cs="黑体"/>
          <w:sz w:val="36"/>
          <w:szCs w:val="36"/>
        </w:rPr>
        <w:t>第十六章</w:t>
      </w:r>
      <w:r>
        <w:rPr>
          <w:rFonts w:ascii="黑体" w:hAnsi="黑体" w:eastAsia="黑体" w:cs="黑体"/>
          <w:sz w:val="36"/>
          <w:szCs w:val="36"/>
        </w:rPr>
        <w:t xml:space="preserve"> </w:t>
      </w:r>
      <w:r>
        <w:rPr>
          <w:rFonts w:hint="eastAsia" w:ascii="黑体" w:hAnsi="黑体" w:eastAsia="黑体" w:cs="黑体"/>
          <w:sz w:val="36"/>
          <w:szCs w:val="36"/>
        </w:rPr>
        <w:t>打造美丽宜居生态城市</w:t>
      </w:r>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p>
    <w:p>
      <w:pPr>
        <w:overflowPunct w:val="0"/>
        <w:adjustRightInd w:val="0"/>
        <w:snapToGrid w:val="0"/>
        <w:spacing w:line="600" w:lineRule="exact"/>
        <w:ind w:firstLine="640" w:firstLineChars="200"/>
        <w:rPr>
          <w:rFonts w:ascii="仿宋_GB2312" w:eastAsia="仿宋_GB2312"/>
          <w:sz w:val="32"/>
          <w:szCs w:val="32"/>
        </w:rPr>
      </w:pPr>
    </w:p>
    <w:p>
      <w:pPr>
        <w:pStyle w:val="8"/>
        <w:spacing w:line="600" w:lineRule="exact"/>
        <w:ind w:firstLine="640"/>
        <w:rPr>
          <w:rFonts w:ascii="仿宋_GB2312" w:eastAsia="仿宋_GB2312"/>
          <w:sz w:val="32"/>
          <w:szCs w:val="32"/>
        </w:rPr>
      </w:pPr>
      <w:r>
        <w:rPr>
          <w:rFonts w:hint="eastAsia" w:ascii="仿宋_GB2312" w:eastAsia="仿宋_GB2312"/>
          <w:sz w:val="32"/>
          <w:szCs w:val="32"/>
        </w:rPr>
        <w:t>优化全域生态保护格局，营造互联互通的城市蓝绿开敞空间，实行最严格的生态环境保护制度，强化区域生态环境联防联治，</w:t>
      </w:r>
      <w:r>
        <w:rPr>
          <w:rFonts w:ascii="仿宋_GB2312" w:eastAsia="仿宋_GB2312"/>
          <w:sz w:val="32"/>
          <w:szCs w:val="32"/>
        </w:rPr>
        <w:t>提高生态系统自我修复能力</w:t>
      </w:r>
      <w:r>
        <w:rPr>
          <w:rFonts w:hint="eastAsia" w:ascii="仿宋_GB2312" w:eastAsia="仿宋_GB2312"/>
          <w:sz w:val="32"/>
          <w:szCs w:val="32"/>
        </w:rPr>
        <w:t>，促进自然生态系统质量整体稳定。</w:t>
      </w:r>
    </w:p>
    <w:p>
      <w:pPr>
        <w:pStyle w:val="8"/>
        <w:spacing w:line="600" w:lineRule="exact"/>
      </w:pPr>
    </w:p>
    <w:p>
      <w:pPr>
        <w:adjustRightInd w:val="0"/>
        <w:snapToGrid w:val="0"/>
        <w:spacing w:line="600" w:lineRule="exact"/>
        <w:jc w:val="center"/>
        <w:outlineLvl w:val="2"/>
        <w:rPr>
          <w:rFonts w:ascii="楷体" w:hAnsi="楷体" w:eastAsia="楷体" w:cs="楷体"/>
          <w:b/>
          <w:bCs/>
          <w:sz w:val="32"/>
          <w:szCs w:val="32"/>
        </w:rPr>
      </w:pPr>
      <w:bookmarkStart w:id="4739" w:name="_Toc16797"/>
      <w:bookmarkStart w:id="4740" w:name="_Toc12282"/>
      <w:bookmarkStart w:id="4741" w:name="_Toc23043"/>
      <w:bookmarkStart w:id="4742" w:name="_Toc2818"/>
      <w:bookmarkStart w:id="4743" w:name="_Toc29120"/>
      <w:bookmarkStart w:id="4744" w:name="_Toc22231"/>
      <w:bookmarkStart w:id="4745" w:name="_Toc30763"/>
      <w:bookmarkStart w:id="4746" w:name="_Toc62"/>
      <w:bookmarkStart w:id="4747" w:name="_Toc17788"/>
      <w:bookmarkStart w:id="4748" w:name="_Toc17536"/>
      <w:bookmarkStart w:id="4749" w:name="_Toc10312"/>
      <w:bookmarkStart w:id="4750" w:name="_Toc31177"/>
      <w:bookmarkStart w:id="4751" w:name="_Toc14898"/>
      <w:bookmarkStart w:id="4752" w:name="_Toc28885"/>
      <w:bookmarkStart w:id="4753" w:name="_Toc10335"/>
      <w:bookmarkStart w:id="4754" w:name="_Toc8989"/>
      <w:bookmarkStart w:id="4755" w:name="_Toc9444"/>
      <w:bookmarkStart w:id="4756" w:name="_Toc28672"/>
      <w:bookmarkStart w:id="4757" w:name="_Toc8279"/>
      <w:bookmarkStart w:id="4758" w:name="_Toc16375"/>
      <w:bookmarkStart w:id="4759" w:name="_Toc13036"/>
      <w:bookmarkStart w:id="4760" w:name="_Toc29497"/>
      <w:bookmarkStart w:id="4761" w:name="_Toc18087"/>
      <w:bookmarkStart w:id="4762" w:name="_Toc26754"/>
      <w:bookmarkStart w:id="4763" w:name="_Toc27878"/>
      <w:bookmarkStart w:id="4764" w:name="_Toc11697"/>
      <w:bookmarkStart w:id="4765" w:name="_Toc30207"/>
      <w:bookmarkStart w:id="4766" w:name="_Toc30159"/>
      <w:bookmarkStart w:id="4767" w:name="_Toc32420"/>
      <w:bookmarkStart w:id="4768" w:name="_Toc6555"/>
      <w:bookmarkStart w:id="4769" w:name="_Toc22754"/>
      <w:bookmarkStart w:id="4770" w:name="_Toc7917"/>
      <w:bookmarkStart w:id="4771" w:name="_Toc32616"/>
      <w:bookmarkStart w:id="4772" w:name="_Toc12725"/>
      <w:bookmarkStart w:id="4773" w:name="_Toc7656"/>
      <w:bookmarkStart w:id="4774" w:name="_Toc31155"/>
      <w:bookmarkStart w:id="4775" w:name="_Toc17285"/>
      <w:bookmarkStart w:id="4776" w:name="_Toc3855"/>
      <w:bookmarkStart w:id="4777" w:name="_Toc19056"/>
      <w:bookmarkStart w:id="4778" w:name="_Toc21642"/>
      <w:bookmarkStart w:id="4779" w:name="_Toc20589"/>
      <w:bookmarkStart w:id="4780" w:name="_Toc20826"/>
      <w:bookmarkStart w:id="4781" w:name="_Toc27003"/>
      <w:bookmarkStart w:id="4782" w:name="_Toc13355"/>
      <w:bookmarkStart w:id="4783" w:name="_Toc24800"/>
      <w:bookmarkStart w:id="4784" w:name="_Toc15219"/>
      <w:bookmarkStart w:id="4785" w:name="_Toc18703"/>
      <w:bookmarkStart w:id="4786" w:name="_Toc26311"/>
      <w:bookmarkStart w:id="4787" w:name="_Toc22486"/>
      <w:bookmarkStart w:id="4788" w:name="_Toc12822"/>
      <w:bookmarkStart w:id="4789" w:name="_Toc3615"/>
      <w:bookmarkStart w:id="4790" w:name="_Toc1950"/>
      <w:bookmarkStart w:id="4791" w:name="_Toc23985"/>
      <w:bookmarkStart w:id="4792" w:name="_Toc7510"/>
      <w:bookmarkStart w:id="4793" w:name="_Toc15807"/>
      <w:bookmarkStart w:id="4794" w:name="_Toc21045"/>
      <w:bookmarkStart w:id="4795" w:name="_Toc12174"/>
      <w:bookmarkStart w:id="4796" w:name="_Toc21835"/>
      <w:bookmarkStart w:id="4797" w:name="_Toc18704"/>
      <w:bookmarkStart w:id="4798" w:name="_Toc18393"/>
      <w:bookmarkStart w:id="4799" w:name="_Toc23199"/>
      <w:bookmarkStart w:id="4800" w:name="_Toc24352"/>
      <w:bookmarkStart w:id="4801" w:name="_Toc2427"/>
      <w:bookmarkStart w:id="4802" w:name="_Toc17433"/>
      <w:bookmarkStart w:id="4803" w:name="_Toc14891"/>
      <w:bookmarkStart w:id="4804" w:name="_Toc13145"/>
      <w:bookmarkStart w:id="4805" w:name="_Toc11476"/>
      <w:bookmarkStart w:id="4806" w:name="_Toc28414"/>
      <w:bookmarkStart w:id="4807" w:name="_Toc8728"/>
      <w:bookmarkStart w:id="4808" w:name="_Toc31281"/>
      <w:bookmarkStart w:id="4809" w:name="_Toc20751"/>
      <w:bookmarkStart w:id="4810" w:name="_Toc28546"/>
      <w:bookmarkStart w:id="4811" w:name="_Toc23170"/>
      <w:bookmarkStart w:id="4812" w:name="_Toc3630"/>
      <w:r>
        <w:rPr>
          <w:rFonts w:hint="eastAsia" w:ascii="楷体" w:hAnsi="楷体" w:eastAsia="楷体" w:cs="楷体"/>
          <w:b/>
          <w:bCs/>
          <w:sz w:val="32"/>
          <w:szCs w:val="32"/>
        </w:rPr>
        <w:t>第一节</w:t>
      </w:r>
      <w:r>
        <w:rPr>
          <w:rFonts w:ascii="楷体" w:hAnsi="楷体" w:eastAsia="楷体" w:cs="楷体"/>
          <w:b/>
          <w:bCs/>
          <w:sz w:val="32"/>
          <w:szCs w:val="32"/>
        </w:rPr>
        <w:t xml:space="preserve"> </w:t>
      </w:r>
      <w:bookmarkEnd w:id="4739"/>
      <w:r>
        <w:rPr>
          <w:rFonts w:hint="eastAsia" w:ascii="楷体" w:hAnsi="楷体" w:eastAsia="楷体" w:cs="楷体"/>
          <w:b/>
          <w:bCs/>
          <w:sz w:val="32"/>
          <w:szCs w:val="32"/>
        </w:rPr>
        <w:t>深入打好污染防治攻坚战</w:t>
      </w:r>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p>
    <w:p>
      <w:pPr>
        <w:overflowPunct w:val="0"/>
        <w:adjustRightInd w:val="0"/>
        <w:snapToGrid w:val="0"/>
        <w:spacing w:line="600" w:lineRule="exact"/>
        <w:ind w:firstLine="643" w:firstLineChars="200"/>
        <w:rPr>
          <w:rFonts w:ascii="仿宋_GB2312" w:eastAsia="仿宋_GB2312"/>
          <w:sz w:val="32"/>
          <w:szCs w:val="32"/>
        </w:rPr>
      </w:pPr>
      <w:r>
        <w:rPr>
          <w:rFonts w:hint="eastAsia" w:ascii="仿宋_GB2312" w:eastAsia="仿宋_GB2312"/>
          <w:b/>
          <w:sz w:val="32"/>
          <w:szCs w:val="32"/>
        </w:rPr>
        <w:t>全面推进人水和谐。</w:t>
      </w:r>
      <w:r>
        <w:rPr>
          <w:rFonts w:hint="eastAsia" w:ascii="仿宋_GB2312" w:eastAsia="仿宋_GB2312"/>
          <w:bCs/>
          <w:sz w:val="32"/>
          <w:szCs w:val="32"/>
        </w:rPr>
        <w:t>健全河长制湖长制工作机制，</w:t>
      </w:r>
      <w:r>
        <w:rPr>
          <w:rFonts w:hint="eastAsia" w:ascii="仿宋_GB2312" w:hAnsi="仿宋_GB2312" w:eastAsia="仿宋_GB2312"/>
          <w:sz w:val="32"/>
          <w:szCs w:val="32"/>
        </w:rPr>
        <w:t>实施河流水生态修复工程，推动工程治水向生态活水转变，逐步恢复河流自净能力和生态功能</w:t>
      </w:r>
      <w:r>
        <w:rPr>
          <w:rFonts w:hint="eastAsia" w:ascii="仿宋_GB2312" w:eastAsia="仿宋_GB2312"/>
          <w:sz w:val="32"/>
          <w:szCs w:val="32"/>
        </w:rPr>
        <w:t>。全面构建“源头减排-过程控制-末端治理”的系统化治水体系，实现污水全量收集、全面达标处理。建立最严格的涉水污染源管控体系，实施涉水面源污染整治。加强饮用水源保护和地下水污染防治。加强河湖岸线管理保护，</w:t>
      </w:r>
      <w:r>
        <w:rPr>
          <w:rFonts w:hint="eastAsia" w:ascii="仿宋_GB2312" w:hAnsi="仿宋_GB2312" w:eastAsia="仿宋_GB2312" w:cs="仿宋_GB2312"/>
          <w:sz w:val="32"/>
          <w:szCs w:val="32"/>
        </w:rPr>
        <w:t>实施</w:t>
      </w:r>
      <w:r>
        <w:rPr>
          <w:rFonts w:hint="eastAsia" w:ascii="仿宋_GB2312" w:eastAsia="仿宋_GB2312"/>
          <w:sz w:val="32"/>
          <w:szCs w:val="32"/>
        </w:rPr>
        <w:t>全流域管理模式，推进深圳河、茅洲河等流域综合整治。</w:t>
      </w:r>
      <w:r>
        <w:rPr>
          <w:rFonts w:hint="eastAsia" w:ascii="仿宋_GB2312" w:hAnsi="仿宋_GB2312" w:eastAsia="仿宋_GB2312" w:cs="仿宋_GB2312"/>
          <w:sz w:val="32"/>
          <w:szCs w:val="32"/>
        </w:rPr>
        <w:t>推动</w:t>
      </w:r>
      <w:r>
        <w:rPr>
          <w:rFonts w:hint="eastAsia" w:ascii="仿宋_GB2312" w:eastAsia="仿宋_GB2312"/>
          <w:sz w:val="32"/>
          <w:szCs w:val="32"/>
        </w:rPr>
        <w:t>跨界水体污染治理联防共治，实现全流域统一管理、统一调度。推进笔架山河沿线地区更新改造及暗渠箱涵复明工程。到2025年，</w:t>
      </w:r>
      <w:r>
        <w:rPr>
          <w:rFonts w:hint="eastAsia" w:ascii="仿宋_GB2312" w:hAnsi="仿宋_GB2312" w:eastAsia="仿宋_GB2312" w:cs="仿宋_GB2312"/>
          <w:sz w:val="32"/>
          <w:szCs w:val="32"/>
        </w:rPr>
        <w:t>完成1000公里碧道建设，水质净化能力达850万吨/天。</w:t>
      </w:r>
    </w:p>
    <w:p>
      <w:pPr>
        <w:overflowPunct w:val="0"/>
        <w:adjustRightInd w:val="0"/>
        <w:snapToGrid w:val="0"/>
        <w:spacing w:line="600" w:lineRule="exact"/>
        <w:ind w:firstLine="643" w:firstLineChars="200"/>
        <w:rPr>
          <w:sz w:val="32"/>
          <w:szCs w:val="32"/>
        </w:rPr>
      </w:pPr>
      <w:r>
        <w:rPr>
          <w:rFonts w:hint="eastAsia" w:ascii="仿宋_GB2312" w:eastAsia="仿宋_GB2312"/>
          <w:b/>
          <w:sz w:val="32"/>
          <w:szCs w:val="32"/>
        </w:rPr>
        <w:t>推进大气环境质量达到国际先进水平。</w:t>
      </w:r>
      <w:r>
        <w:rPr>
          <w:rFonts w:hint="eastAsia" w:ascii="仿宋_GB2312" w:eastAsia="仿宋_GB2312"/>
          <w:sz w:val="32"/>
          <w:szCs w:val="32"/>
        </w:rPr>
        <w:t>推动多污染物协同减排，统筹臭氧（O</w:t>
      </w:r>
      <w:r>
        <w:rPr>
          <w:rFonts w:hint="eastAsia" w:ascii="仿宋_GB2312" w:eastAsia="仿宋_GB2312"/>
          <w:sz w:val="32"/>
          <w:szCs w:val="32"/>
          <w:vertAlign w:val="subscript"/>
        </w:rPr>
        <w:t>3</w:t>
      </w:r>
      <w:r>
        <w:rPr>
          <w:rFonts w:hint="eastAsia" w:ascii="仿宋_GB2312" w:eastAsia="仿宋_GB2312"/>
          <w:sz w:val="32"/>
          <w:szCs w:val="32"/>
        </w:rPr>
        <w:t>）和细颗粒物（PM</w:t>
      </w:r>
      <w:r>
        <w:rPr>
          <w:rFonts w:ascii="仿宋_GB2312" w:eastAsia="仿宋_GB2312"/>
          <w:sz w:val="32"/>
          <w:szCs w:val="32"/>
          <w:vertAlign w:val="subscript"/>
        </w:rPr>
        <w:t>2.5</w:t>
      </w:r>
      <w:r>
        <w:rPr>
          <w:rFonts w:hint="eastAsia" w:ascii="仿宋_GB2312" w:eastAsia="仿宋_GB2312"/>
          <w:sz w:val="32"/>
          <w:szCs w:val="32"/>
        </w:rPr>
        <w:t>）污染防治。</w:t>
      </w:r>
      <w:r>
        <w:rPr>
          <w:rFonts w:hint="eastAsia" w:ascii="仿宋_GB2312" w:hAnsi="仿宋_GB2312" w:eastAsia="仿宋_GB2312" w:cs="仿宋_GB2312"/>
          <w:sz w:val="32"/>
          <w:szCs w:val="32"/>
        </w:rPr>
        <w:t>严格成品油质量管理，严禁使用非标劣质成品油。</w:t>
      </w:r>
      <w:r>
        <w:rPr>
          <w:rFonts w:hint="eastAsia" w:ascii="仿宋_GB2312" w:eastAsia="仿宋_GB2312"/>
          <w:sz w:val="32"/>
          <w:szCs w:val="32"/>
        </w:rPr>
        <w:t>严格控制挥发性有机物（VOCs）污染排放，全面开展天然气锅炉低氮燃烧改造。加快老旧车淘汰，全面实施机动车国六排放标准。推进绿色港口建设，远洋船舶靠港期间岸电使用比例力争达到8%以上。</w:t>
      </w:r>
      <w:r>
        <w:rPr>
          <w:rFonts w:hint="eastAsia" w:ascii="仿宋_GB2312" w:hAnsi="仿宋_GB2312" w:eastAsia="仿宋_GB2312" w:cs="仿宋_GB2312"/>
          <w:sz w:val="32"/>
          <w:szCs w:val="32"/>
        </w:rPr>
        <w:t>推进非道路移动机械油品直供。</w:t>
      </w:r>
      <w:r>
        <w:rPr>
          <w:rFonts w:hint="eastAsia" w:ascii="仿宋_GB2312" w:eastAsia="仿宋_GB2312"/>
          <w:sz w:val="32"/>
          <w:szCs w:val="32"/>
        </w:rPr>
        <w:t>实施绿色施工，加强施工扬尘精细化管理。强化餐饮源污染排放监管，全面禁止露天生物质焚烧。</w:t>
      </w:r>
      <w:r>
        <w:rPr>
          <w:rFonts w:hint="eastAsia" w:ascii="仿宋_GB2312" w:hAnsi="仿宋_GB2312" w:eastAsia="仿宋_GB2312" w:cs="仿宋_GB2312"/>
          <w:sz w:val="32"/>
          <w:szCs w:val="32"/>
        </w:rPr>
        <w:t>推进妈湾电厂煤电清洁化替代。</w:t>
      </w:r>
      <w:r>
        <w:rPr>
          <w:rFonts w:hint="eastAsia" w:ascii="仿宋_GB2312" w:eastAsia="仿宋_GB2312"/>
          <w:sz w:val="32"/>
          <w:szCs w:val="32"/>
        </w:rPr>
        <w:t>到2025年</w:t>
      </w:r>
      <w:r>
        <w:rPr>
          <w:rFonts w:hint="eastAsia" w:ascii="仿宋_GB2312" w:eastAsia="仿宋_GB2312"/>
          <w:color w:val="000000"/>
          <w:sz w:val="32"/>
          <w:szCs w:val="32"/>
          <w:lang w:bidi="ar"/>
        </w:rPr>
        <w:t>，</w:t>
      </w:r>
      <w:r>
        <w:rPr>
          <w:rFonts w:hint="eastAsia" w:ascii="仿宋_GB2312" w:eastAsia="仿宋_GB2312"/>
          <w:sz w:val="32"/>
          <w:szCs w:val="32"/>
        </w:rPr>
        <w:t>臭氧日最大8小时平均第90百分位数控制在160微克/立方米以下</w:t>
      </w:r>
      <w:r>
        <w:rPr>
          <w:rFonts w:hint="eastAsia" w:ascii="仿宋_GB2312" w:hAnsi="仿宋_GB2312" w:eastAsia="仿宋_GB2312" w:cs="仿宋_GB2312"/>
          <w:sz w:val="32"/>
          <w:szCs w:val="32"/>
        </w:rPr>
        <w:t>，环境空气质量优良天数比例保持国内超大城市领先水平</w:t>
      </w:r>
      <w:r>
        <w:rPr>
          <w:rFonts w:hint="eastAsia" w:ascii="仿宋_GB2312" w:eastAsia="仿宋_GB2312"/>
          <w:sz w:val="32"/>
          <w:szCs w:val="32"/>
        </w:rPr>
        <w:t>。</w:t>
      </w:r>
    </w:p>
    <w:p>
      <w:pPr>
        <w:overflowPunct w:val="0"/>
        <w:adjustRightInd w:val="0"/>
        <w:snapToGrid w:val="0"/>
        <w:spacing w:line="600" w:lineRule="exact"/>
        <w:ind w:firstLine="643" w:firstLineChars="200"/>
        <w:rPr>
          <w:rFonts w:ascii="仿宋_GB2312" w:eastAsia="仿宋_GB2312"/>
          <w:sz w:val="32"/>
          <w:szCs w:val="32"/>
        </w:rPr>
      </w:pPr>
      <w:r>
        <w:rPr>
          <w:rFonts w:hint="eastAsia" w:ascii="仿宋_GB2312" w:eastAsia="仿宋_GB2312"/>
          <w:b/>
          <w:sz w:val="32"/>
          <w:szCs w:val="32"/>
        </w:rPr>
        <w:t>加强噪声污染防治和土壤环境风险防范。</w:t>
      </w:r>
      <w:r>
        <w:rPr>
          <w:rFonts w:hint="eastAsia" w:ascii="仿宋_GB2312" w:hAnsi="仿宋_GB2312" w:eastAsia="仿宋_GB2312" w:cs="仿宋_GB2312"/>
          <w:sz w:val="32"/>
          <w:szCs w:val="32"/>
        </w:rPr>
        <w:t>健全噪声污染源头防控机制，实施高噪声设施设备、工艺名录管理制度。实施</w:t>
      </w:r>
      <w:r>
        <w:rPr>
          <w:rFonts w:hint="eastAsia" w:ascii="仿宋_GB2312" w:eastAsia="仿宋_GB2312"/>
          <w:sz w:val="32"/>
          <w:szCs w:val="32"/>
        </w:rPr>
        <w:t>铁路沿线等交通噪声污染严重区域治理工程，提升机场周边区域声环境质量。加强施工噪声监督管理，完善社会生活噪声治理体系。创新噪声监管模式，创建宁静生活城市。健全土壤污染预防、风险管控和修复监管机制，开展土壤环境</w:t>
      </w:r>
      <w:r>
        <w:rPr>
          <w:rFonts w:hint="eastAsia" w:ascii="仿宋_GB2312" w:hAnsi="仿宋_GB2312" w:eastAsia="仿宋_GB2312" w:cs="仿宋_GB2312"/>
          <w:sz w:val="32"/>
          <w:szCs w:val="32"/>
        </w:rPr>
        <w:t>背景深度</w:t>
      </w:r>
      <w:r>
        <w:rPr>
          <w:rFonts w:hint="eastAsia" w:ascii="仿宋_GB2312" w:eastAsia="仿宋_GB2312"/>
          <w:sz w:val="32"/>
          <w:szCs w:val="32"/>
        </w:rPr>
        <w:t>调查。</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加大海洋环境保护力度。</w:t>
      </w:r>
      <w:r>
        <w:rPr>
          <w:rFonts w:hint="eastAsia" w:ascii="仿宋_GB2312" w:hAnsi="仿宋_GB2312" w:eastAsia="仿宋_GB2312" w:cs="仿宋_GB2312"/>
          <w:sz w:val="32"/>
          <w:szCs w:val="32"/>
        </w:rPr>
        <w:t>贯通陆海污染防治和生态保护，健全海洋生态环境修复机制，严格落实海洋“两空间内部一红线”制度，推进典型海洋生态系统保育和修复。加强陆域污染防治，推进入海河流总氮控制，建立入海排污口分类管理制度。加强海洋垃圾监管，探索“微塑料”等新型海洋污染物防控，建立海上环卫制度，完善船舶污染物收运处理处置和海上溢油应急处置体系。开展海洋污染基线和生态本底调查，建立陆海立体联动监测体系。制定海岛名录和分类管控指引，维持海岛基本生态功能。加强海上预警信息发布和应急能力建设，主动应对各类海洋灾害风险。到2025年，海水水质符合分级控制要求比例达95%以上。</w:t>
      </w:r>
    </w:p>
    <w:p>
      <w:pPr>
        <w:pStyle w:val="8"/>
        <w:spacing w:line="600" w:lineRule="exact"/>
      </w:pPr>
    </w:p>
    <w:p>
      <w:pPr>
        <w:adjustRightInd w:val="0"/>
        <w:snapToGrid w:val="0"/>
        <w:spacing w:line="600" w:lineRule="exact"/>
        <w:jc w:val="center"/>
        <w:outlineLvl w:val="2"/>
        <w:rPr>
          <w:rFonts w:ascii="楷体" w:hAnsi="楷体" w:eastAsia="楷体" w:cs="楷体"/>
          <w:b/>
          <w:bCs/>
          <w:sz w:val="32"/>
          <w:szCs w:val="32"/>
        </w:rPr>
      </w:pPr>
      <w:bookmarkStart w:id="4813" w:name="_Toc24699"/>
      <w:bookmarkStart w:id="4814" w:name="_Toc6458"/>
      <w:bookmarkStart w:id="4815" w:name="_Toc31361"/>
      <w:bookmarkStart w:id="4816" w:name="_Toc12933"/>
      <w:bookmarkStart w:id="4817" w:name="_Toc14747"/>
      <w:bookmarkStart w:id="4818" w:name="_Toc16608"/>
      <w:bookmarkStart w:id="4819" w:name="_Toc24155"/>
      <w:bookmarkStart w:id="4820" w:name="_Toc1249"/>
      <w:bookmarkStart w:id="4821" w:name="_Toc14878"/>
      <w:bookmarkStart w:id="4822" w:name="_Toc4605"/>
      <w:bookmarkStart w:id="4823" w:name="_Toc26884"/>
      <w:bookmarkStart w:id="4824" w:name="_Toc15212"/>
      <w:bookmarkStart w:id="4825" w:name="_Toc7143"/>
      <w:bookmarkStart w:id="4826" w:name="_Toc26216"/>
      <w:bookmarkStart w:id="4827" w:name="_Toc8197"/>
      <w:bookmarkStart w:id="4828" w:name="_Toc31584"/>
      <w:bookmarkStart w:id="4829" w:name="_Toc7959"/>
      <w:bookmarkStart w:id="4830" w:name="_Toc26393"/>
      <w:bookmarkStart w:id="4831" w:name="_Toc19866"/>
      <w:bookmarkStart w:id="4832" w:name="_Toc30765"/>
      <w:bookmarkStart w:id="4833" w:name="_Toc6249"/>
      <w:bookmarkStart w:id="4834" w:name="_Toc23569"/>
      <w:bookmarkStart w:id="4835" w:name="_Toc31453"/>
      <w:bookmarkStart w:id="4836" w:name="_Toc25953"/>
      <w:bookmarkStart w:id="4837" w:name="_Toc31133"/>
      <w:bookmarkStart w:id="4838" w:name="_Toc18447"/>
      <w:bookmarkStart w:id="4839" w:name="_Toc18807"/>
      <w:bookmarkStart w:id="4840" w:name="_Toc24632"/>
      <w:bookmarkStart w:id="4841" w:name="_Toc18222"/>
      <w:bookmarkStart w:id="4842" w:name="_Toc25888"/>
      <w:bookmarkStart w:id="4843" w:name="_Toc20425"/>
      <w:bookmarkStart w:id="4844" w:name="_Toc23602"/>
      <w:bookmarkStart w:id="4845" w:name="_Toc17698"/>
      <w:bookmarkStart w:id="4846" w:name="_Toc18654"/>
      <w:bookmarkStart w:id="4847" w:name="_Toc14973"/>
      <w:bookmarkStart w:id="4848" w:name="_Toc20791"/>
      <w:bookmarkStart w:id="4849" w:name="_Toc22303"/>
      <w:bookmarkStart w:id="4850" w:name="_Toc28188"/>
      <w:bookmarkStart w:id="4851" w:name="_Toc20377"/>
      <w:bookmarkStart w:id="4852" w:name="_Toc25419"/>
      <w:bookmarkStart w:id="4853" w:name="_Toc28049"/>
      <w:bookmarkStart w:id="4854" w:name="_Toc2084"/>
      <w:bookmarkStart w:id="4855" w:name="_Toc27385"/>
      <w:bookmarkStart w:id="4856" w:name="_Toc22943"/>
      <w:bookmarkStart w:id="4857" w:name="_Toc32575"/>
      <w:bookmarkStart w:id="4858" w:name="_Toc12185"/>
      <w:bookmarkStart w:id="4859" w:name="_Toc24946"/>
      <w:bookmarkStart w:id="4860" w:name="_Toc28898"/>
      <w:bookmarkStart w:id="4861" w:name="_Toc28020"/>
      <w:bookmarkStart w:id="4862" w:name="_Toc32431"/>
      <w:bookmarkStart w:id="4863" w:name="_Toc14040"/>
      <w:bookmarkStart w:id="4864" w:name="_Toc15200"/>
      <w:bookmarkStart w:id="4865" w:name="_Toc10789"/>
      <w:bookmarkStart w:id="4866" w:name="_Toc21046"/>
      <w:bookmarkStart w:id="4867" w:name="_Toc19636"/>
      <w:bookmarkStart w:id="4868" w:name="_Toc12885"/>
      <w:bookmarkStart w:id="4869" w:name="_Toc27635"/>
      <w:bookmarkStart w:id="4870" w:name="_Toc29092"/>
      <w:bookmarkStart w:id="4871" w:name="_Toc32574"/>
      <w:bookmarkStart w:id="4872" w:name="_Toc14002"/>
      <w:bookmarkStart w:id="4873" w:name="_Toc26997"/>
      <w:bookmarkStart w:id="4874" w:name="_Toc5681"/>
      <w:bookmarkStart w:id="4875" w:name="_Toc29254"/>
      <w:bookmarkStart w:id="4876" w:name="_Toc20410"/>
      <w:bookmarkStart w:id="4877" w:name="_Toc6534"/>
      <w:bookmarkStart w:id="4878" w:name="_Toc31007"/>
      <w:bookmarkStart w:id="4879" w:name="_Toc12142"/>
      <w:bookmarkStart w:id="4880" w:name="_Toc17750"/>
      <w:bookmarkStart w:id="4881" w:name="_Toc4908"/>
      <w:bookmarkStart w:id="4882" w:name="_Toc11371"/>
      <w:bookmarkStart w:id="4883" w:name="_Toc30988"/>
      <w:bookmarkStart w:id="4884" w:name="_Toc25111"/>
      <w:r>
        <w:rPr>
          <w:rFonts w:hint="eastAsia" w:ascii="楷体" w:hAnsi="楷体" w:eastAsia="楷体" w:cs="楷体"/>
          <w:b/>
          <w:bCs/>
          <w:sz w:val="32"/>
          <w:szCs w:val="32"/>
        </w:rPr>
        <w:t>第二节</w:t>
      </w:r>
      <w:r>
        <w:rPr>
          <w:rFonts w:ascii="楷体" w:hAnsi="楷体" w:eastAsia="楷体" w:cs="楷体"/>
          <w:b/>
          <w:bCs/>
          <w:sz w:val="32"/>
          <w:szCs w:val="32"/>
        </w:rPr>
        <w:t xml:space="preserve"> </w:t>
      </w:r>
      <w:bookmarkEnd w:id="4811"/>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r>
        <w:rPr>
          <w:rFonts w:hint="eastAsia" w:ascii="楷体" w:hAnsi="楷体" w:eastAsia="楷体" w:cs="楷体"/>
          <w:b/>
          <w:bCs/>
          <w:sz w:val="32"/>
          <w:szCs w:val="32"/>
        </w:rPr>
        <w:t>提升生态</w:t>
      </w:r>
      <w:r>
        <w:rPr>
          <w:rFonts w:hint="eastAsia" w:ascii="楷体_GB2312" w:hAnsi="楷体_GB2312" w:eastAsia="楷体_GB2312" w:cs="楷体_GB2312"/>
          <w:b/>
          <w:sz w:val="32"/>
          <w:szCs w:val="32"/>
        </w:rPr>
        <w:t>环境质量和生态系统</w:t>
      </w:r>
      <w:r>
        <w:rPr>
          <w:rFonts w:hint="eastAsia" w:ascii="楷体" w:hAnsi="楷体" w:eastAsia="楷体" w:cs="楷体"/>
          <w:b/>
          <w:bCs/>
          <w:sz w:val="32"/>
          <w:szCs w:val="32"/>
        </w:rPr>
        <w:t>稳定性</w:t>
      </w:r>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p>
    <w:bookmarkEnd w:id="4812"/>
    <w:p>
      <w:pPr>
        <w:overflowPunct w:val="0"/>
        <w:adjustRightInd w:val="0"/>
        <w:snapToGrid w:val="0"/>
        <w:spacing w:line="600" w:lineRule="exact"/>
        <w:ind w:firstLine="643" w:firstLineChars="200"/>
        <w:rPr>
          <w:rFonts w:ascii="仿宋_GB2312" w:eastAsia="仿宋_GB2312"/>
          <w:sz w:val="32"/>
          <w:szCs w:val="32"/>
        </w:rPr>
      </w:pPr>
      <w:r>
        <w:rPr>
          <w:rFonts w:hint="eastAsia" w:ascii="仿宋_GB2312" w:eastAsia="仿宋_GB2312"/>
          <w:b/>
          <w:sz w:val="32"/>
          <w:szCs w:val="32"/>
        </w:rPr>
        <w:t>加强生态系统保护和修复。</w:t>
      </w:r>
      <w:r>
        <w:rPr>
          <w:rFonts w:hint="eastAsia" w:ascii="仿宋_GB2312" w:eastAsia="仿宋_GB2312"/>
          <w:bCs/>
          <w:sz w:val="32"/>
          <w:szCs w:val="32"/>
        </w:rPr>
        <w:t>推进“三线一单”落地应用，落实生态保护红线管控政策，构建环境分区管控体系。</w:t>
      </w:r>
      <w:r>
        <w:rPr>
          <w:rFonts w:hint="eastAsia" w:ascii="仿宋_GB2312" w:hAnsi="宋体" w:eastAsia="仿宋_GB2312"/>
          <w:sz w:val="32"/>
          <w:szCs w:val="32"/>
        </w:rPr>
        <w:t>科学划定城镇开发边界，合理</w:t>
      </w:r>
      <w:r>
        <w:rPr>
          <w:rFonts w:hint="eastAsia" w:ascii="仿宋_GB2312" w:eastAsia="仿宋_GB2312"/>
          <w:bCs/>
          <w:sz w:val="32"/>
          <w:szCs w:val="32"/>
        </w:rPr>
        <w:t>确定城市承载力上限和适宜空间，</w:t>
      </w:r>
      <w:r>
        <w:rPr>
          <w:rFonts w:hint="eastAsia" w:ascii="仿宋_GB2312" w:hAnsi="仿宋_GB2312" w:eastAsia="仿宋_GB2312" w:cs="仿宋_GB2312"/>
          <w:bCs/>
          <w:sz w:val="32"/>
          <w:szCs w:val="36"/>
          <w:lang w:val="en-AU"/>
        </w:rPr>
        <w:t>夯实“四带八片多廊”的生态安全格局</w:t>
      </w:r>
      <w:r>
        <w:rPr>
          <w:rFonts w:hint="eastAsia" w:ascii="仿宋_GB2312" w:eastAsia="仿宋_GB2312"/>
          <w:bCs/>
          <w:sz w:val="32"/>
          <w:szCs w:val="32"/>
        </w:rPr>
        <w:t>。</w:t>
      </w:r>
      <w:r>
        <w:rPr>
          <w:rFonts w:hint="eastAsia" w:ascii="仿宋_GB2312" w:hAnsi="仿宋_GB2312" w:eastAsia="仿宋_GB2312" w:cs="仿宋_GB2312"/>
          <w:bCs/>
          <w:sz w:val="32"/>
          <w:szCs w:val="36"/>
          <w:lang w:val="en-AU"/>
        </w:rPr>
        <w:t>坚持山水林田湖草系统共治，</w:t>
      </w:r>
      <w:r>
        <w:rPr>
          <w:rFonts w:hint="eastAsia" w:ascii="仿宋_GB2312" w:eastAsia="仿宋_GB2312"/>
          <w:bCs/>
          <w:sz w:val="32"/>
          <w:szCs w:val="32"/>
        </w:rPr>
        <w:t>实施重大系统性生态修复工程和重要生态廊道节点修复工程，推进生态空间整体保护、系统修复、综合治理。实施生物多样性保护示范工程，建立区域生物多样性监测评估体系，加强外来物种管控，严惩非法交易野生动物行为。</w:t>
      </w:r>
      <w:r>
        <w:rPr>
          <w:rFonts w:hint="eastAsia" w:ascii="仿宋_GB2312" w:eastAsia="仿宋_GB2312"/>
          <w:sz w:val="32"/>
          <w:szCs w:val="32"/>
        </w:rPr>
        <w:t>推进河库湿地和红树林湿地的保育修复，开展滨海湿地跨境联合保护。</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推动“蓝绿空间”融合发展。</w:t>
      </w:r>
      <w:r>
        <w:rPr>
          <w:rFonts w:hint="eastAsia" w:ascii="仿宋_GB2312" w:hAnsi="仿宋_GB2312" w:eastAsia="仿宋_GB2312" w:cs="仿宋_GB2312"/>
          <w:sz w:val="32"/>
          <w:szCs w:val="32"/>
        </w:rPr>
        <w:t>以河湖水系为纽带，串联周边山林资源、城市绿地、文化遗产等自然人文要素，塑造连续贯通、功能复合、开放共享的滨水活动空间。</w:t>
      </w:r>
      <w:r>
        <w:rPr>
          <w:rFonts w:hint="eastAsia" w:ascii="仿宋_GB2312" w:hAnsi="仿宋_GB2312" w:eastAsia="仿宋_GB2312" w:cs="仿宋_GB2312"/>
          <w:bCs/>
          <w:sz w:val="32"/>
          <w:szCs w:val="32"/>
        </w:rPr>
        <w:t>实施“山海连城”计划，推动生态游憩连廊建设，形成“一脊一带十八廊”的生态游憩骨架。保留城市通风廊道，强化蓝绿共生、城海交融的特色风貌，打造“可呼吸的城市”。</w:t>
      </w:r>
    </w:p>
    <w:p>
      <w:pPr>
        <w:overflowPunct w:val="0"/>
        <w:adjustRightInd w:val="0"/>
        <w:snapToGrid w:val="0"/>
        <w:spacing w:line="600" w:lineRule="exact"/>
        <w:ind w:firstLine="643" w:firstLineChars="200"/>
        <w:rPr>
          <w:rFonts w:ascii="仿宋_GB2312" w:eastAsia="仿宋_GB2312"/>
          <w:sz w:val="32"/>
          <w:szCs w:val="32"/>
        </w:rPr>
      </w:pPr>
      <w:r>
        <w:rPr>
          <w:rFonts w:hint="eastAsia" w:ascii="仿宋_GB2312" w:hAnsi="仿宋_GB2312" w:eastAsia="仿宋_GB2312" w:cs="仿宋_GB2312"/>
          <w:b/>
          <w:bCs/>
          <w:sz w:val="32"/>
          <w:szCs w:val="32"/>
        </w:rPr>
        <w:t>建成世界著名花城。</w:t>
      </w:r>
      <w:r>
        <w:rPr>
          <w:rFonts w:hint="eastAsia" w:ascii="仿宋_GB2312" w:hAnsi="仿宋_GB2312" w:eastAsia="仿宋_GB2312" w:cs="仿宋_GB2312"/>
          <w:sz w:val="32"/>
          <w:szCs w:val="32"/>
        </w:rPr>
        <w:t>建设更多社区公园以及小尺度游园，建设公园花卉主题区，打造花景道路、花漾街区、花园路口。</w:t>
      </w:r>
      <w:r>
        <w:rPr>
          <w:rFonts w:hint="eastAsia" w:ascii="仿宋_GB2312" w:eastAsia="仿宋_GB2312"/>
          <w:sz w:val="32"/>
          <w:szCs w:val="32"/>
        </w:rPr>
        <w:t>推进森林郊野公园建设，打造低影响的森林、郊野步道系统。</w:t>
      </w:r>
      <w:r>
        <w:rPr>
          <w:rFonts w:hint="eastAsia" w:ascii="仿宋_GB2312" w:hAnsi="仿宋_GB2312" w:eastAsia="仿宋_GB2312" w:cs="仿宋_GB2312"/>
          <w:sz w:val="32"/>
          <w:szCs w:val="32"/>
        </w:rPr>
        <w:t>继续推动绿道网建设，打造精品绿道。</w:t>
      </w:r>
      <w:r>
        <w:rPr>
          <w:rFonts w:hint="eastAsia" w:ascii="仿宋_GB2312" w:eastAsia="仿宋_GB2312"/>
          <w:sz w:val="32"/>
          <w:szCs w:val="32"/>
        </w:rPr>
        <w:t>加快推进公共绿地和公共设施复合利用，打造形式多样的立体绿化生态景观，增补微型绿色空间，多方位、多途径增加城市可视绿量。推行绿地系统</w:t>
      </w:r>
      <w:r>
        <w:rPr>
          <w:rFonts w:hint="eastAsia" w:ascii="仿宋_GB2312" w:hAnsi="仿宋_GB2312" w:eastAsia="仿宋_GB2312" w:cs="仿宋_GB2312"/>
          <w:sz w:val="32"/>
          <w:szCs w:val="32"/>
        </w:rPr>
        <w:t>精细化管理和</w:t>
      </w:r>
      <w:r>
        <w:rPr>
          <w:rFonts w:hint="eastAsia" w:ascii="仿宋_GB2312" w:eastAsia="仿宋_GB2312"/>
          <w:sz w:val="32"/>
          <w:szCs w:val="32"/>
        </w:rPr>
        <w:t>近自然经营相结合，营造亲近自然的城市生态空间。</w:t>
      </w:r>
    </w:p>
    <w:p>
      <w:pPr>
        <w:pStyle w:val="8"/>
        <w:spacing w:line="600" w:lineRule="exact"/>
        <w:ind w:firstLine="0" w:firstLineChars="0"/>
      </w:pPr>
    </w:p>
    <w:p>
      <w:pPr>
        <w:adjustRightInd w:val="0"/>
        <w:snapToGrid w:val="0"/>
        <w:spacing w:line="600" w:lineRule="exact"/>
        <w:jc w:val="center"/>
        <w:outlineLvl w:val="2"/>
        <w:rPr>
          <w:rFonts w:ascii="楷体" w:hAnsi="楷体" w:eastAsia="楷体" w:cs="楷体"/>
          <w:b/>
          <w:bCs/>
          <w:sz w:val="32"/>
          <w:szCs w:val="32"/>
        </w:rPr>
      </w:pPr>
      <w:bookmarkStart w:id="4885" w:name="_Toc27769"/>
      <w:bookmarkStart w:id="4886" w:name="_Toc27131"/>
      <w:bookmarkStart w:id="4887" w:name="_Toc1299"/>
      <w:bookmarkStart w:id="4888" w:name="_Toc27596"/>
      <w:bookmarkStart w:id="4889" w:name="_Toc26573"/>
      <w:bookmarkStart w:id="4890" w:name="_Toc27211"/>
      <w:bookmarkStart w:id="4891" w:name="_Toc15604"/>
      <w:bookmarkStart w:id="4892" w:name="_Toc19554"/>
      <w:bookmarkStart w:id="4893" w:name="_Toc21712"/>
      <w:bookmarkStart w:id="4894" w:name="_Toc16085"/>
      <w:bookmarkStart w:id="4895" w:name="_Toc12336"/>
      <w:bookmarkStart w:id="4896" w:name="_Toc17040"/>
      <w:bookmarkStart w:id="4897" w:name="_Toc14174"/>
      <w:bookmarkStart w:id="4898" w:name="_Toc30678"/>
      <w:bookmarkStart w:id="4899" w:name="_Toc31652"/>
      <w:bookmarkStart w:id="4900" w:name="_Toc13410"/>
      <w:bookmarkStart w:id="4901" w:name="_Toc31094"/>
      <w:bookmarkStart w:id="4902" w:name="_Toc3598"/>
      <w:bookmarkStart w:id="4903" w:name="_Toc4545"/>
      <w:bookmarkStart w:id="4904" w:name="_Toc18172"/>
      <w:bookmarkStart w:id="4905" w:name="_Toc23405"/>
      <w:bookmarkStart w:id="4906" w:name="_Toc11327"/>
      <w:bookmarkStart w:id="4907" w:name="_Toc18477"/>
      <w:bookmarkStart w:id="4908" w:name="_Toc11449"/>
      <w:bookmarkStart w:id="4909" w:name="_Toc5820"/>
      <w:bookmarkStart w:id="4910" w:name="_Toc15904"/>
      <w:bookmarkStart w:id="4911" w:name="_Toc3747"/>
      <w:bookmarkStart w:id="4912" w:name="_Toc15547"/>
      <w:bookmarkStart w:id="4913" w:name="_Toc28275"/>
      <w:bookmarkStart w:id="4914" w:name="_Toc6671"/>
      <w:bookmarkStart w:id="4915" w:name="_Toc702"/>
      <w:bookmarkStart w:id="4916" w:name="_Toc11111"/>
      <w:bookmarkStart w:id="4917" w:name="_Toc252"/>
      <w:bookmarkStart w:id="4918" w:name="_Toc12228"/>
      <w:bookmarkStart w:id="4919" w:name="_Toc1867"/>
      <w:bookmarkStart w:id="4920" w:name="_Toc4079"/>
      <w:bookmarkStart w:id="4921" w:name="_Toc8894"/>
      <w:bookmarkStart w:id="4922" w:name="_Toc1904"/>
      <w:bookmarkStart w:id="4923" w:name="_Toc27427"/>
      <w:bookmarkStart w:id="4924" w:name="_Toc4678"/>
      <w:bookmarkStart w:id="4925" w:name="_Toc19699"/>
      <w:bookmarkStart w:id="4926" w:name="_Toc28484"/>
      <w:bookmarkStart w:id="4927" w:name="_Toc24113"/>
      <w:bookmarkStart w:id="4928" w:name="_Toc18080"/>
      <w:bookmarkStart w:id="4929" w:name="_Toc28800"/>
      <w:bookmarkStart w:id="4930" w:name="_Toc11644"/>
      <w:bookmarkStart w:id="4931" w:name="_Toc11190"/>
      <w:bookmarkStart w:id="4932" w:name="_Toc23650"/>
      <w:bookmarkStart w:id="4933" w:name="_Toc31707"/>
      <w:bookmarkStart w:id="4934" w:name="_Toc1704"/>
      <w:bookmarkStart w:id="4935" w:name="_Toc28084"/>
      <w:bookmarkStart w:id="4936" w:name="_Toc13235"/>
      <w:bookmarkStart w:id="4937" w:name="_Toc19589"/>
      <w:bookmarkStart w:id="4938" w:name="_Toc6756"/>
      <w:bookmarkStart w:id="4939" w:name="_Toc31339"/>
      <w:bookmarkStart w:id="4940" w:name="_Toc28144"/>
      <w:bookmarkStart w:id="4941" w:name="_Toc27137"/>
      <w:bookmarkStart w:id="4942" w:name="_Toc28088"/>
      <w:bookmarkStart w:id="4943" w:name="_Toc5277"/>
      <w:bookmarkStart w:id="4944" w:name="_Toc30898"/>
      <w:bookmarkStart w:id="4945" w:name="_Toc15487"/>
      <w:bookmarkStart w:id="4946" w:name="_Toc26003"/>
      <w:bookmarkStart w:id="4947" w:name="_Toc17001"/>
      <w:bookmarkStart w:id="4948" w:name="_Toc11208"/>
      <w:bookmarkStart w:id="4949" w:name="_Toc19117"/>
      <w:bookmarkStart w:id="4950" w:name="_Toc27701"/>
      <w:bookmarkStart w:id="4951" w:name="_Toc13460"/>
      <w:bookmarkStart w:id="4952" w:name="_Toc32037"/>
      <w:bookmarkStart w:id="4953" w:name="_Toc5466"/>
      <w:bookmarkStart w:id="4954" w:name="_Toc9889"/>
      <w:bookmarkStart w:id="4955" w:name="_Toc31994"/>
      <w:r>
        <w:rPr>
          <w:rFonts w:hint="eastAsia" w:ascii="楷体" w:hAnsi="楷体" w:eastAsia="楷体" w:cs="楷体"/>
          <w:b/>
          <w:bCs/>
          <w:sz w:val="32"/>
          <w:szCs w:val="32"/>
        </w:rPr>
        <w:t>第三节</w:t>
      </w:r>
      <w:r>
        <w:rPr>
          <w:rFonts w:ascii="楷体" w:hAnsi="楷体" w:eastAsia="楷体" w:cs="楷体"/>
          <w:b/>
          <w:bCs/>
          <w:sz w:val="32"/>
          <w:szCs w:val="32"/>
        </w:rPr>
        <w:t xml:space="preserve"> </w:t>
      </w:r>
      <w:r>
        <w:rPr>
          <w:rFonts w:hint="eastAsia" w:ascii="楷体" w:hAnsi="楷体" w:eastAsia="楷体" w:cs="楷体"/>
          <w:b/>
          <w:bCs/>
          <w:sz w:val="32"/>
          <w:szCs w:val="32"/>
        </w:rPr>
        <w:t>努力实现生态环境治理体系和治理能力</w:t>
      </w:r>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r>
        <w:rPr>
          <w:rFonts w:hint="eastAsia" w:ascii="楷体" w:hAnsi="楷体" w:eastAsia="楷体" w:cs="楷体"/>
          <w:b/>
          <w:bCs/>
          <w:sz w:val="32"/>
          <w:szCs w:val="32"/>
        </w:rPr>
        <w:t>现代化</w:t>
      </w:r>
      <w:bookmarkEnd w:id="4951"/>
      <w:bookmarkEnd w:id="4952"/>
      <w:bookmarkEnd w:id="4953"/>
      <w:bookmarkEnd w:id="4954"/>
      <w:bookmarkEnd w:id="4955"/>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实行最严格的生态环境保护制度。</w:t>
      </w:r>
      <w:r>
        <w:rPr>
          <w:rFonts w:hint="eastAsia" w:ascii="仿宋_GB2312" w:hAnsi="仿宋_GB2312" w:eastAsia="仿宋_GB2312" w:cs="仿宋_GB2312"/>
          <w:sz w:val="32"/>
          <w:szCs w:val="32"/>
        </w:rPr>
        <w:t>建立地上地下、陆海统筹的生态环境治理制度，完善生态环境治理责任体系，优化生态文明建设考核指标体系。加快推进区域空间生态环境评价改革，实行重大决策和重大产业布局环境影响评价，开展环境政策经济社会影响评估</w:t>
      </w:r>
      <w:r>
        <w:rPr>
          <w:rFonts w:hint="eastAsia" w:ascii="仿宋_GB2312" w:hAnsi="仿宋_GB2312" w:eastAsia="仿宋_GB2312" w:cs="仿宋_GB2312"/>
          <w:sz w:val="32"/>
          <w:szCs w:val="32"/>
          <w:lang w:val="en-GB"/>
        </w:rPr>
        <w:t>。</w:t>
      </w:r>
      <w:r>
        <w:rPr>
          <w:rFonts w:hint="eastAsia" w:ascii="仿宋_GB2312" w:hAnsi="仿宋_GB2312" w:eastAsia="仿宋_GB2312" w:cs="仿宋_GB2312"/>
          <w:sz w:val="32"/>
          <w:szCs w:val="32"/>
        </w:rPr>
        <w:t>全面实行排污许可制度，构建以排污许可制为核心的固定污染源监管制度体系。推行环境污染第三方治理，建立更有效的市场调控制度。强化生态环保行政执法、刑事司法联动，对环境违法行为“零容忍”。实施生态环境损害赔偿制度。建设环境资源法庭，推进生态环境公益诉讼。完善环境信用评价、信息强制披露机制，加强社会监督。</w:t>
      </w:r>
    </w:p>
    <w:p>
      <w:pPr>
        <w:spacing w:after="156" w:afterLines="50"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创新绿水青山转化为金山银山的实现路径。</w:t>
      </w:r>
      <w:r>
        <w:rPr>
          <w:rFonts w:hint="eastAsia" w:ascii="仿宋_GB2312" w:hAnsi="仿宋_GB2312" w:eastAsia="仿宋_GB2312" w:cs="仿宋_GB2312"/>
          <w:sz w:val="32"/>
          <w:szCs w:val="32"/>
        </w:rPr>
        <w:t>构建生态系统生产总值（GEP）核算体系，逐步推动核算常态化、规范化。建立市场化、多元化生态补偿机制，推行沙滩资源等生态产品价值实现机制，培育生态产品市场。推进自然资源统一确权登记，健全自然资源资产产权制度，建设自然资源资产交易市场。推进编制自然资源资产负债表，建立自然资源统一调查、评价、监测制度。</w:t>
      </w:r>
      <w:r>
        <w:rPr>
          <w:rFonts w:hint="eastAsia" w:ascii="仿宋_GB2312" w:hAnsi="仿宋_GB2312" w:eastAsia="仿宋_GB2312" w:cs="仿宋_GB2312"/>
          <w:sz w:val="32"/>
          <w:szCs w:val="32"/>
          <w:lang w:val="en-AU"/>
        </w:rPr>
        <w:t>深化自然资源生态空间用途管制改革，</w:t>
      </w:r>
      <w:r>
        <w:rPr>
          <w:rFonts w:hint="eastAsia" w:ascii="仿宋_GB2312" w:hAnsi="仿宋_GB2312" w:eastAsia="仿宋_GB2312" w:cs="仿宋_GB2312"/>
          <w:sz w:val="32"/>
          <w:szCs w:val="32"/>
        </w:rPr>
        <w:t>创新高度城市化地区耕地和永久基本农田的保护利用模式。</w:t>
      </w:r>
    </w:p>
    <w:tbl>
      <w:tblPr>
        <w:tblStyle w:val="28"/>
        <w:tblW w:w="8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8018" w:type="dxa"/>
            <w:vAlign w:val="center"/>
          </w:tcPr>
          <w:p>
            <w:pPr>
              <w:pStyle w:val="43"/>
              <w:numPr>
                <w:ilvl w:val="255"/>
                <w:numId w:val="0"/>
              </w:numPr>
              <w:overflowPunct w:val="0"/>
              <w:adjustRightInd w:val="0"/>
              <w:snapToGrid w:val="0"/>
              <w:spacing w:line="400" w:lineRule="exact"/>
              <w:jc w:val="center"/>
              <w:rPr>
                <w:rFonts w:ascii="宋体" w:hAnsi="宋体" w:cs="宋体"/>
                <w:b/>
                <w:color w:val="000000"/>
                <w:sz w:val="24"/>
              </w:rPr>
            </w:pPr>
            <w:r>
              <w:rPr>
                <w:rFonts w:hint="eastAsia" w:ascii="宋体" w:hAnsi="宋体" w:cs="宋体"/>
                <w:b/>
                <w:color w:val="000000"/>
                <w:sz w:val="24"/>
              </w:rPr>
              <w:t>专栏11：生态环境系统治理的重大工程</w:t>
            </w:r>
          </w:p>
          <w:p>
            <w:pPr>
              <w:pStyle w:val="43"/>
              <w:numPr>
                <w:ilvl w:val="0"/>
                <w:numId w:val="7"/>
              </w:numPr>
              <w:overflowPunct w:val="0"/>
              <w:adjustRightInd w:val="0"/>
              <w:snapToGrid w:val="0"/>
              <w:spacing w:line="400" w:lineRule="exact"/>
              <w:ind w:left="482" w:hanging="482" w:hangingChars="200"/>
              <w:rPr>
                <w:rFonts w:ascii="宋体" w:hAnsi="宋体" w:cs="宋体"/>
                <w:bCs/>
                <w:color w:val="000000"/>
                <w:sz w:val="24"/>
              </w:rPr>
            </w:pPr>
            <w:r>
              <w:rPr>
                <w:rFonts w:hint="eastAsia" w:ascii="宋体" w:hAnsi="宋体" w:cs="宋体"/>
                <w:b/>
                <w:color w:val="000000"/>
                <w:sz w:val="24"/>
              </w:rPr>
              <w:t>水环境治理工程：</w:t>
            </w:r>
            <w:r>
              <w:rPr>
                <w:rFonts w:hint="eastAsia" w:ascii="宋体" w:hAnsi="宋体" w:cs="宋体"/>
                <w:color w:val="000000"/>
                <w:sz w:val="24"/>
                <w:szCs w:val="32"/>
              </w:rPr>
              <w:t>规划新、扩、续建水质净化厂18座</w:t>
            </w:r>
            <w:r>
              <w:rPr>
                <w:rFonts w:hint="eastAsia" w:ascii="宋体" w:hAnsi="宋体" w:cs="宋体"/>
                <w:sz w:val="24"/>
                <w:szCs w:val="32"/>
              </w:rPr>
              <w:t>。完善污水收集管网，重点建设笋岗-清水河、福永西、机场周边、大水坑、民治、南约、宝龙和深汕特别合作区的污水管网系统，基本实现全面雨污分流和污水全收集。开展公明、铁岗、长岭皮、清林径、铜锣径、松子坑等6座水库水土保持工程，构建库区生态屏障。推动完成10个区级节水型社区达标建设以及1亿立方米以上的非常规水源利用设施建设。</w:t>
            </w:r>
          </w:p>
          <w:p>
            <w:pPr>
              <w:pStyle w:val="43"/>
              <w:numPr>
                <w:ilvl w:val="0"/>
                <w:numId w:val="7"/>
              </w:numPr>
              <w:overflowPunct w:val="0"/>
              <w:adjustRightInd w:val="0"/>
              <w:snapToGrid w:val="0"/>
              <w:spacing w:line="400" w:lineRule="exact"/>
              <w:ind w:left="482" w:hanging="482" w:hangingChars="200"/>
              <w:rPr>
                <w:rFonts w:ascii="宋体" w:hAnsi="宋体" w:cs="宋体"/>
                <w:bCs/>
                <w:color w:val="000000"/>
                <w:sz w:val="24"/>
              </w:rPr>
            </w:pPr>
            <w:r>
              <w:rPr>
                <w:rFonts w:hint="eastAsia" w:ascii="宋体" w:hAnsi="宋体" w:cs="宋体"/>
                <w:b/>
                <w:color w:val="000000"/>
                <w:sz w:val="24"/>
              </w:rPr>
              <w:t>大气环境质量提升工程：</w:t>
            </w:r>
            <w:r>
              <w:rPr>
                <w:rFonts w:hint="eastAsia" w:ascii="宋体" w:hAnsi="宋体" w:cs="宋体"/>
                <w:bCs/>
                <w:color w:val="000000"/>
                <w:sz w:val="24"/>
              </w:rPr>
              <w:t>移动源污染控制方面，</w:t>
            </w:r>
            <w:r>
              <w:rPr>
                <w:rFonts w:hint="eastAsia" w:ascii="宋体" w:hAnsi="宋体" w:cs="宋体"/>
                <w:sz w:val="24"/>
                <w:szCs w:val="32"/>
              </w:rPr>
              <w:t>严格成品油质量管控</w:t>
            </w:r>
            <w:r>
              <w:rPr>
                <w:rFonts w:hint="eastAsia" w:ascii="宋体" w:hAnsi="宋体" w:cs="宋体"/>
                <w:bCs/>
                <w:color w:val="000000"/>
                <w:sz w:val="24"/>
              </w:rPr>
              <w:t>，禁用低于国三排放标准的非道路移动机械，在东西部港区内全面推动新能源或清洁能源非道路移动机械使用。加快推进挥发性有机物（VOCs）源头削减工作，</w:t>
            </w:r>
            <w:r>
              <w:rPr>
                <w:rFonts w:hint="eastAsia" w:ascii="宋体" w:hAnsi="宋体" w:cs="宋体"/>
                <w:sz w:val="24"/>
                <w:szCs w:val="32"/>
              </w:rPr>
              <w:t>按计划实施气电替代工程</w:t>
            </w:r>
            <w:r>
              <w:rPr>
                <w:rFonts w:hint="eastAsia" w:ascii="宋体" w:hAnsi="宋体" w:cs="宋体"/>
                <w:bCs/>
                <w:color w:val="000000"/>
                <w:sz w:val="24"/>
              </w:rPr>
              <w:t xml:space="preserve">。 </w:t>
            </w:r>
          </w:p>
          <w:p>
            <w:pPr>
              <w:pStyle w:val="43"/>
              <w:numPr>
                <w:ilvl w:val="0"/>
                <w:numId w:val="7"/>
              </w:numPr>
              <w:overflowPunct w:val="0"/>
              <w:adjustRightInd w:val="0"/>
              <w:snapToGrid w:val="0"/>
              <w:spacing w:line="400" w:lineRule="exact"/>
              <w:ind w:left="482" w:hanging="482" w:hangingChars="200"/>
              <w:rPr>
                <w:rFonts w:ascii="宋体" w:hAnsi="宋体" w:cs="宋体"/>
                <w:bCs/>
                <w:color w:val="000000"/>
                <w:sz w:val="24"/>
              </w:rPr>
            </w:pPr>
            <w:r>
              <w:rPr>
                <w:rFonts w:hint="eastAsia" w:ascii="宋体" w:hAnsi="宋体" w:cs="宋体"/>
                <w:b/>
                <w:color w:val="000000"/>
                <w:sz w:val="24"/>
              </w:rPr>
              <w:t>重大系统性生态修复工程：</w:t>
            </w:r>
            <w:r>
              <w:rPr>
                <w:rFonts w:hint="eastAsia" w:ascii="宋体" w:hAnsi="宋体" w:cs="宋体"/>
                <w:bCs/>
                <w:color w:val="000000"/>
                <w:sz w:val="24"/>
              </w:rPr>
              <w:t>实施塘朗山-梅林山-银湖山、清林径等区域绿地生态修复工程，优化生态安全屏障体系。实施深圳河、茅洲河、观澜河、龙岗河、坪山河等主干河流生态修复工程，打造蓝绿交融的水生态廊道。</w:t>
            </w:r>
          </w:p>
        </w:tc>
      </w:tr>
    </w:tbl>
    <w:p>
      <w:pPr>
        <w:spacing w:line="600" w:lineRule="exact"/>
        <w:ind w:firstLine="640" w:firstLineChars="200"/>
        <w:rPr>
          <w:rFonts w:ascii="仿宋_GB2312" w:hAnsi="仿宋_GB2312" w:eastAsia="仿宋_GB2312" w:cs="仿宋_GB2312"/>
          <w:sz w:val="32"/>
          <w:szCs w:val="32"/>
        </w:rPr>
      </w:pPr>
    </w:p>
    <w:p>
      <w:pPr>
        <w:ind w:firstLine="640"/>
      </w:pPr>
    </w:p>
    <w:p>
      <w:pPr>
        <w:spacing w:line="600" w:lineRule="exact"/>
        <w:rPr>
          <w:rFonts w:ascii="仿宋_GB2312" w:hAnsi="仿宋_GB2312" w:eastAsia="仿宋_GB2312" w:cs="仿宋_GB2312"/>
          <w:sz w:val="32"/>
          <w:szCs w:val="32"/>
        </w:rPr>
      </w:pPr>
    </w:p>
    <w:p>
      <w:pPr>
        <w:spacing w:line="600" w:lineRule="exact"/>
        <w:jc w:val="center"/>
        <w:outlineLvl w:val="0"/>
        <w:rPr>
          <w:rFonts w:ascii="黑体" w:hAnsi="黑体" w:eastAsia="黑体" w:cs="黑体"/>
          <w:sz w:val="40"/>
          <w:szCs w:val="40"/>
        </w:rPr>
        <w:sectPr>
          <w:pgSz w:w="11906" w:h="16838"/>
          <w:pgMar w:top="1440" w:right="1800" w:bottom="1440" w:left="1800" w:header="851" w:footer="992" w:gutter="0"/>
          <w:cols w:space="425" w:num="1"/>
          <w:docGrid w:type="lines" w:linePitch="312" w:charSpace="0"/>
        </w:sectPr>
      </w:pPr>
      <w:bookmarkStart w:id="4956" w:name="_Toc27711"/>
      <w:bookmarkStart w:id="4957" w:name="_Toc31622"/>
      <w:bookmarkStart w:id="4958" w:name="_Toc6341"/>
      <w:bookmarkStart w:id="4959" w:name="_Toc756"/>
      <w:bookmarkStart w:id="4960" w:name="_Toc13838"/>
      <w:bookmarkStart w:id="4961" w:name="_Toc27910"/>
      <w:bookmarkStart w:id="4962" w:name="_Toc20622"/>
      <w:bookmarkStart w:id="4963" w:name="_Toc16358"/>
      <w:bookmarkStart w:id="4964" w:name="_Toc22425"/>
      <w:bookmarkStart w:id="4965" w:name="_Toc26055"/>
      <w:bookmarkStart w:id="4966" w:name="_Toc16332"/>
      <w:bookmarkStart w:id="4967" w:name="_Toc16996"/>
      <w:bookmarkStart w:id="4968" w:name="_Toc16219"/>
      <w:bookmarkStart w:id="4969" w:name="_Toc15931"/>
      <w:bookmarkStart w:id="4970" w:name="_Toc18068"/>
      <w:bookmarkStart w:id="4971" w:name="_Toc4233"/>
      <w:bookmarkStart w:id="4972" w:name="_Toc6711"/>
      <w:bookmarkStart w:id="4973" w:name="_Toc17394"/>
      <w:bookmarkStart w:id="4974" w:name="_Toc10890"/>
      <w:bookmarkStart w:id="4975" w:name="_Toc13121"/>
      <w:bookmarkStart w:id="4976" w:name="_Toc1002"/>
      <w:bookmarkStart w:id="4977" w:name="_Toc950"/>
      <w:bookmarkStart w:id="4978" w:name="_Toc9062"/>
      <w:bookmarkStart w:id="4979" w:name="_Toc5999"/>
      <w:bookmarkStart w:id="4980" w:name="_Toc24170"/>
      <w:bookmarkStart w:id="4981" w:name="_Toc24618"/>
      <w:bookmarkStart w:id="4982" w:name="_Toc10352"/>
      <w:bookmarkStart w:id="4983" w:name="_Toc31932"/>
      <w:bookmarkStart w:id="4984" w:name="_Toc30073"/>
      <w:bookmarkStart w:id="4985" w:name="_Toc7046"/>
      <w:bookmarkStart w:id="4986" w:name="_Toc11569"/>
      <w:bookmarkStart w:id="4987" w:name="_Toc31689"/>
      <w:bookmarkStart w:id="4988" w:name="_Toc31229"/>
      <w:bookmarkStart w:id="4989" w:name="_Toc9818"/>
      <w:bookmarkStart w:id="4990" w:name="_Toc16736"/>
      <w:bookmarkStart w:id="4991" w:name="_Toc14277"/>
      <w:bookmarkStart w:id="4992" w:name="_Toc31846"/>
      <w:bookmarkStart w:id="4993" w:name="_Toc17676"/>
      <w:bookmarkStart w:id="4994" w:name="_Toc2475"/>
      <w:bookmarkStart w:id="4995" w:name="_Toc21938"/>
      <w:bookmarkStart w:id="4996" w:name="_Toc2281"/>
      <w:bookmarkStart w:id="4997" w:name="_Toc9003"/>
      <w:bookmarkStart w:id="4998" w:name="_Toc13412"/>
      <w:bookmarkStart w:id="4999" w:name="_Toc3791"/>
      <w:bookmarkStart w:id="5000" w:name="_Toc15279"/>
      <w:bookmarkStart w:id="5001" w:name="_Toc28776"/>
      <w:bookmarkStart w:id="5002" w:name="_Toc3174"/>
      <w:bookmarkStart w:id="5003" w:name="_Toc9653"/>
      <w:bookmarkStart w:id="5004" w:name="_Toc912"/>
      <w:bookmarkStart w:id="5005" w:name="_Toc24158"/>
      <w:bookmarkStart w:id="5006" w:name="_Toc21185"/>
      <w:bookmarkStart w:id="5007" w:name="_Toc25275"/>
      <w:bookmarkStart w:id="5008" w:name="_Toc12664"/>
      <w:bookmarkStart w:id="5009" w:name="_Toc15331"/>
      <w:bookmarkStart w:id="5010" w:name="_Toc10402"/>
      <w:bookmarkStart w:id="5011" w:name="_Toc15965"/>
      <w:bookmarkStart w:id="5012" w:name="_Toc14462"/>
      <w:bookmarkStart w:id="5013" w:name="_Toc25221"/>
      <w:bookmarkStart w:id="5014" w:name="_Toc63"/>
      <w:bookmarkStart w:id="5015" w:name="_Toc148"/>
      <w:bookmarkStart w:id="5016" w:name="_Toc32648"/>
      <w:bookmarkStart w:id="5017" w:name="_Toc24636"/>
      <w:bookmarkStart w:id="5018" w:name="_Toc22537"/>
      <w:bookmarkStart w:id="5019" w:name="_Toc28279"/>
      <w:bookmarkStart w:id="5020" w:name="_Toc22731"/>
      <w:bookmarkStart w:id="5021" w:name="_Toc22449"/>
      <w:bookmarkStart w:id="5022" w:name="_Toc28884"/>
      <w:bookmarkStart w:id="5023" w:name="_Toc4048"/>
      <w:bookmarkStart w:id="5024" w:name="_Toc463"/>
    </w:p>
    <w:p>
      <w:pPr>
        <w:spacing w:line="600" w:lineRule="exact"/>
        <w:jc w:val="center"/>
        <w:outlineLvl w:val="0"/>
        <w:rPr>
          <w:rFonts w:ascii="黑体" w:hAnsi="黑体" w:eastAsia="黑体" w:cs="黑体"/>
          <w:sz w:val="40"/>
          <w:szCs w:val="40"/>
        </w:rPr>
      </w:pPr>
      <w:bookmarkStart w:id="5025" w:name="_Toc6158"/>
      <w:bookmarkStart w:id="5026" w:name="_Toc4882"/>
      <w:bookmarkStart w:id="5027" w:name="_Toc2597"/>
      <w:bookmarkStart w:id="5028" w:name="_Toc14107"/>
      <w:bookmarkStart w:id="5029" w:name="_Toc2290"/>
      <w:bookmarkStart w:id="5030" w:name="_Toc109"/>
      <w:r>
        <w:rPr>
          <w:rFonts w:hint="eastAsia" w:ascii="黑体" w:hAnsi="黑体" w:eastAsia="黑体" w:cs="黑体"/>
          <w:sz w:val="40"/>
          <w:szCs w:val="40"/>
        </w:rPr>
        <w:t>第八篇 率先营造彰显公平正义的民主法治环境</w:t>
      </w:r>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25"/>
      <w:bookmarkEnd w:id="5026"/>
      <w:bookmarkEnd w:id="5027"/>
      <w:bookmarkEnd w:id="5028"/>
      <w:bookmarkEnd w:id="5029"/>
      <w:bookmarkEnd w:id="5030"/>
    </w:p>
    <w:p>
      <w:pPr>
        <w:pStyle w:val="14"/>
        <w:spacing w:line="600" w:lineRule="exact"/>
      </w:pPr>
    </w:p>
    <w:p>
      <w:pPr>
        <w:overflowPunct w:val="0"/>
        <w:autoSpaceDE w:val="0"/>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坚定不移走中国特色社会主义法治道路，一体建设法治城市、法治政府、法治社会，健全社会公平正义法治保障制度，发展社会主义民主政治，全面提升民主法治建设水平。</w:t>
      </w:r>
    </w:p>
    <w:p>
      <w:pPr>
        <w:spacing w:line="600" w:lineRule="exact"/>
      </w:pPr>
    </w:p>
    <w:p>
      <w:pPr>
        <w:spacing w:line="600" w:lineRule="exact"/>
        <w:jc w:val="center"/>
        <w:outlineLvl w:val="1"/>
        <w:rPr>
          <w:rFonts w:ascii="黑体" w:hAnsi="黑体" w:eastAsia="黑体" w:cs="黑体"/>
          <w:sz w:val="36"/>
          <w:szCs w:val="36"/>
        </w:rPr>
      </w:pPr>
      <w:bookmarkStart w:id="5031" w:name="_Toc28449"/>
      <w:bookmarkStart w:id="5032" w:name="_Toc7927"/>
      <w:bookmarkStart w:id="5033" w:name="_Toc17983"/>
      <w:bookmarkStart w:id="5034" w:name="_Toc20728"/>
      <w:bookmarkStart w:id="5035" w:name="_Toc4839"/>
      <w:bookmarkStart w:id="5036" w:name="_Toc27956"/>
      <w:bookmarkStart w:id="5037" w:name="_Toc9169"/>
      <w:bookmarkStart w:id="5038" w:name="_Toc3596"/>
      <w:bookmarkStart w:id="5039" w:name="_Toc4901"/>
      <w:bookmarkStart w:id="5040" w:name="_Toc2885"/>
      <w:bookmarkStart w:id="5041" w:name="_Toc31306"/>
      <w:bookmarkStart w:id="5042" w:name="_Toc5642"/>
      <w:bookmarkStart w:id="5043" w:name="_Toc26279"/>
      <w:bookmarkStart w:id="5044" w:name="_Toc19471"/>
      <w:bookmarkStart w:id="5045" w:name="_Toc6168"/>
      <w:bookmarkStart w:id="5046" w:name="_Toc10521"/>
      <w:bookmarkStart w:id="5047" w:name="_Toc2184"/>
      <w:bookmarkStart w:id="5048" w:name="_Toc31623"/>
      <w:bookmarkStart w:id="5049" w:name="_Toc13956"/>
      <w:bookmarkStart w:id="5050" w:name="_Toc26122"/>
      <w:bookmarkStart w:id="5051" w:name="_Toc9958"/>
      <w:bookmarkStart w:id="5052" w:name="_Toc15027"/>
      <w:bookmarkStart w:id="5053" w:name="_Toc17981"/>
      <w:bookmarkStart w:id="5054" w:name="_Toc10678"/>
      <w:bookmarkStart w:id="5055" w:name="_Toc22186"/>
      <w:bookmarkStart w:id="5056" w:name="_Toc19384"/>
      <w:bookmarkStart w:id="5057" w:name="_Toc31321"/>
      <w:bookmarkStart w:id="5058" w:name="_Toc10518"/>
      <w:bookmarkStart w:id="5059" w:name="_Toc13896"/>
      <w:bookmarkStart w:id="5060" w:name="_Toc4877"/>
      <w:bookmarkStart w:id="5061" w:name="_Toc7784"/>
      <w:bookmarkStart w:id="5062" w:name="_Toc7166"/>
      <w:bookmarkStart w:id="5063" w:name="_Toc27090"/>
      <w:bookmarkStart w:id="5064" w:name="_Toc25383"/>
      <w:bookmarkStart w:id="5065" w:name="_Toc20646"/>
      <w:bookmarkStart w:id="5066" w:name="_Toc27343"/>
      <w:bookmarkStart w:id="5067" w:name="_Toc18041"/>
      <w:bookmarkStart w:id="5068" w:name="_Toc10202"/>
      <w:bookmarkStart w:id="5069" w:name="_Toc7921"/>
      <w:bookmarkStart w:id="5070" w:name="_Toc11203"/>
      <w:bookmarkStart w:id="5071" w:name="_Toc21752"/>
      <w:bookmarkStart w:id="5072" w:name="_Toc25696"/>
      <w:bookmarkStart w:id="5073" w:name="_Toc15100"/>
      <w:bookmarkStart w:id="5074" w:name="_Toc26838"/>
      <w:bookmarkStart w:id="5075" w:name="_Toc19971"/>
      <w:bookmarkStart w:id="5076" w:name="_Toc29995"/>
      <w:bookmarkStart w:id="5077" w:name="_Toc29237"/>
      <w:bookmarkStart w:id="5078" w:name="_Toc27509"/>
      <w:bookmarkStart w:id="5079" w:name="_Toc1094"/>
      <w:bookmarkStart w:id="5080" w:name="_Toc23561"/>
      <w:bookmarkStart w:id="5081" w:name="_Toc11400"/>
      <w:bookmarkStart w:id="5082" w:name="_Toc21654"/>
      <w:bookmarkStart w:id="5083" w:name="_Toc5007"/>
      <w:r>
        <w:rPr>
          <w:rFonts w:hint="eastAsia" w:ascii="黑体" w:hAnsi="黑体" w:eastAsia="黑体" w:cs="黑体"/>
          <w:sz w:val="36"/>
          <w:szCs w:val="36"/>
        </w:rPr>
        <w:t>第十七章 建设中国特色社会主义法治示范城市</w:t>
      </w:r>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p>
    <w:p>
      <w:pPr>
        <w:spacing w:line="600" w:lineRule="exact"/>
      </w:pPr>
    </w:p>
    <w:p>
      <w:pPr>
        <w:overflowPunct w:val="0"/>
        <w:autoSpaceDE w:val="0"/>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深入贯彻习近平法治思想，全面推进科学立法、严格执法、公正司法、全民守法，引导人民做社会主义法治的忠实崇尚者、自觉遵守者、坚定捍卫者，让法治成为社会共识和基本准则。</w:t>
      </w:r>
    </w:p>
    <w:p>
      <w:pPr>
        <w:spacing w:line="600" w:lineRule="exact"/>
      </w:pPr>
    </w:p>
    <w:p>
      <w:pPr>
        <w:spacing w:line="600" w:lineRule="exact"/>
        <w:jc w:val="center"/>
        <w:outlineLvl w:val="2"/>
        <w:rPr>
          <w:rFonts w:ascii="楷体" w:hAnsi="楷体" w:eastAsia="楷体" w:cs="楷体"/>
          <w:b/>
          <w:bCs/>
          <w:sz w:val="32"/>
          <w:szCs w:val="32"/>
        </w:rPr>
      </w:pPr>
      <w:bookmarkStart w:id="5084" w:name="_Toc32658"/>
      <w:bookmarkStart w:id="5085" w:name="_Toc8328"/>
      <w:bookmarkStart w:id="5086" w:name="_Toc5977"/>
      <w:bookmarkStart w:id="5087" w:name="_Toc28588"/>
      <w:bookmarkStart w:id="5088" w:name="_Toc23745"/>
      <w:bookmarkStart w:id="5089" w:name="_Toc10146"/>
      <w:bookmarkStart w:id="5090" w:name="_Toc25633"/>
      <w:bookmarkStart w:id="5091" w:name="_Toc7121"/>
      <w:bookmarkStart w:id="5092" w:name="_Toc1618"/>
      <w:bookmarkStart w:id="5093" w:name="_Toc22752"/>
      <w:bookmarkStart w:id="5094" w:name="_Toc29734"/>
      <w:bookmarkStart w:id="5095" w:name="_Toc2208"/>
      <w:bookmarkStart w:id="5096" w:name="_Toc24465"/>
      <w:bookmarkStart w:id="5097" w:name="_Toc15701"/>
      <w:bookmarkStart w:id="5098" w:name="_Toc30990"/>
      <w:bookmarkStart w:id="5099" w:name="_Toc10958"/>
      <w:bookmarkStart w:id="5100" w:name="_Toc18567"/>
      <w:bookmarkStart w:id="5101" w:name="_Toc31067"/>
      <w:bookmarkStart w:id="5102" w:name="_Toc17080"/>
      <w:bookmarkStart w:id="5103" w:name="_Toc31178"/>
      <w:bookmarkStart w:id="5104" w:name="_Toc29556"/>
      <w:bookmarkStart w:id="5105" w:name="_Toc21582"/>
      <w:bookmarkStart w:id="5106" w:name="_Toc22606"/>
      <w:bookmarkStart w:id="5107" w:name="_Toc31782"/>
      <w:bookmarkStart w:id="5108" w:name="_Toc29391"/>
      <w:bookmarkStart w:id="5109" w:name="_Toc15295"/>
      <w:bookmarkStart w:id="5110" w:name="_Toc3283"/>
      <w:bookmarkStart w:id="5111" w:name="_Toc18878"/>
      <w:bookmarkStart w:id="5112" w:name="_Toc5152"/>
      <w:bookmarkStart w:id="5113" w:name="_Toc16805"/>
      <w:bookmarkStart w:id="5114" w:name="_Toc19654"/>
      <w:bookmarkStart w:id="5115" w:name="_Toc4458"/>
      <w:bookmarkStart w:id="5116" w:name="_Toc9716"/>
      <w:bookmarkStart w:id="5117" w:name="_Toc25635"/>
      <w:bookmarkStart w:id="5118" w:name="_Toc24070"/>
      <w:bookmarkStart w:id="5119" w:name="_Toc21708"/>
      <w:bookmarkStart w:id="5120" w:name="_Toc29351"/>
      <w:bookmarkStart w:id="5121" w:name="_Toc28907"/>
      <w:bookmarkStart w:id="5122" w:name="_Toc4677"/>
      <w:bookmarkStart w:id="5123" w:name="_Toc175"/>
      <w:bookmarkStart w:id="5124" w:name="_Toc25634"/>
      <w:bookmarkStart w:id="5125" w:name="_Toc32075"/>
      <w:bookmarkStart w:id="5126" w:name="_Toc21284"/>
      <w:bookmarkStart w:id="5127" w:name="_Toc31757"/>
      <w:bookmarkStart w:id="5128" w:name="_Toc24650"/>
      <w:bookmarkStart w:id="5129" w:name="_Toc26755"/>
      <w:bookmarkStart w:id="5130" w:name="_Toc22024"/>
      <w:bookmarkStart w:id="5131" w:name="_Toc3234"/>
      <w:bookmarkStart w:id="5132" w:name="_Toc20772"/>
      <w:bookmarkStart w:id="5133" w:name="_Toc30324"/>
      <w:bookmarkStart w:id="5134" w:name="_Toc9036"/>
      <w:bookmarkStart w:id="5135" w:name="_Toc8003"/>
      <w:bookmarkStart w:id="5136" w:name="_Toc32234"/>
      <w:r>
        <w:rPr>
          <w:rFonts w:hint="eastAsia" w:ascii="楷体" w:hAnsi="楷体" w:eastAsia="楷体" w:cs="楷体"/>
          <w:b/>
          <w:bCs/>
          <w:sz w:val="32"/>
          <w:szCs w:val="32"/>
        </w:rPr>
        <w:t>第一节 用足用好深圳经济特区立法权</w:t>
      </w:r>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p>
    <w:p>
      <w:pPr>
        <w:pStyle w:val="8"/>
        <w:spacing w:line="600" w:lineRule="exact"/>
        <w:ind w:firstLine="643"/>
        <w:rPr>
          <w:rFonts w:ascii="仿宋_GB2312" w:hAnsi="仿宋_GB2312" w:eastAsia="仿宋_GB2312" w:cs="仿宋_GB2312"/>
          <w:sz w:val="32"/>
          <w:szCs w:val="32"/>
        </w:rPr>
      </w:pPr>
      <w:r>
        <w:rPr>
          <w:rFonts w:ascii="仿宋_GB2312" w:hAnsi="仿宋_GB2312" w:eastAsia="仿宋_GB2312" w:cs="仿宋_GB2312"/>
          <w:b/>
          <w:bCs/>
          <w:sz w:val="32"/>
          <w:szCs w:val="32"/>
        </w:rPr>
        <w:t>健全科学立法民主立法</w:t>
      </w:r>
      <w:r>
        <w:rPr>
          <w:rFonts w:hint="eastAsia" w:ascii="仿宋_GB2312" w:hAnsi="仿宋_GB2312" w:eastAsia="仿宋_GB2312" w:cs="仿宋_GB2312"/>
          <w:b/>
          <w:bCs/>
          <w:sz w:val="32"/>
          <w:szCs w:val="32"/>
        </w:rPr>
        <w:t>依法立法</w:t>
      </w:r>
      <w:r>
        <w:rPr>
          <w:rFonts w:ascii="仿宋_GB2312" w:hAnsi="仿宋_GB2312" w:eastAsia="仿宋_GB2312" w:cs="仿宋_GB2312"/>
          <w:b/>
          <w:bCs/>
          <w:sz w:val="32"/>
          <w:szCs w:val="32"/>
        </w:rPr>
        <w:t>机制。</w:t>
      </w:r>
      <w:r>
        <w:rPr>
          <w:rFonts w:ascii="仿宋_GB2312" w:hAnsi="仿宋_GB2312" w:eastAsia="仿宋_GB2312" w:cs="仿宋_GB2312"/>
          <w:sz w:val="32"/>
          <w:szCs w:val="32"/>
        </w:rPr>
        <w:t>完善党委领导、人大主导、政府依托、各方参与的立法工作格局，提高立法质量和效率。健全市人大常委会、市政府与市政协的立法协商机制，形成立法工作合力。完善立法必要性、可行性论证和</w:t>
      </w:r>
      <w:r>
        <w:rPr>
          <w:rFonts w:ascii="仿宋_GB2312" w:hAnsi="仿宋_GB2312" w:eastAsia="仿宋_GB2312" w:cs="仿宋_GB2312"/>
          <w:sz w:val="32"/>
          <w:szCs w:val="32"/>
          <w:lang w:val="zh-CN"/>
        </w:rPr>
        <w:t>立法后评估制度，</w:t>
      </w:r>
      <w:r>
        <w:rPr>
          <w:rFonts w:ascii="仿宋_GB2312" w:hAnsi="仿宋_GB2312" w:eastAsia="仿宋_GB2312" w:cs="仿宋_GB2312"/>
          <w:sz w:val="32"/>
          <w:szCs w:val="32"/>
        </w:rPr>
        <w:t>建立立法重大利益调整论证咨询、重要条款单独表决机制，创新立法审议机制。完善立法听证制度，</w:t>
      </w:r>
      <w:r>
        <w:rPr>
          <w:rFonts w:ascii="仿宋_GB2312" w:hAnsi="仿宋_GB2312" w:eastAsia="仿宋_GB2312" w:cs="仿宋_GB2312"/>
          <w:sz w:val="32"/>
          <w:szCs w:val="32"/>
          <w:lang w:val="zh-CN"/>
        </w:rPr>
        <w:t>把立法公开贯穿立法全过程。</w:t>
      </w:r>
      <w:r>
        <w:rPr>
          <w:rFonts w:ascii="仿宋_GB2312" w:hAnsi="仿宋_GB2312" w:eastAsia="仿宋_GB2312" w:cs="仿宋_GB2312"/>
          <w:sz w:val="32"/>
          <w:szCs w:val="32"/>
        </w:rPr>
        <w:t>扩大立法联系点，加强立法联系点建设，畅通社情民意表达和反映渠道。</w:t>
      </w:r>
    </w:p>
    <w:p>
      <w:pPr>
        <w:pStyle w:val="8"/>
        <w:overflowPunct w:val="0"/>
        <w:spacing w:line="600" w:lineRule="exact"/>
        <w:ind w:firstLine="643"/>
        <w:rPr>
          <w:rFonts w:ascii="仿宋_GB2312" w:hAnsi="仿宋_GB2312" w:eastAsia="仿宋_GB2312" w:cs="仿宋_GB2312"/>
          <w:sz w:val="32"/>
          <w:szCs w:val="32"/>
        </w:rPr>
      </w:pPr>
      <w:r>
        <w:rPr>
          <w:rFonts w:ascii="仿宋_GB2312" w:hAnsi="仿宋_GB2312" w:eastAsia="仿宋_GB2312" w:cs="仿宋_GB2312"/>
          <w:b/>
          <w:bCs/>
          <w:sz w:val="32"/>
          <w:szCs w:val="32"/>
        </w:rPr>
        <w:t>加强重点领域立法。</w:t>
      </w:r>
      <w:r>
        <w:rPr>
          <w:rFonts w:ascii="仿宋_GB2312" w:hAnsi="仿宋_GB2312" w:eastAsia="仿宋_GB2312" w:cs="仿宋_GB2312"/>
          <w:sz w:val="32"/>
          <w:szCs w:val="32"/>
        </w:rPr>
        <w:t>强化立法对改革的引领和推动作用，完善改革决策与立法决策相衔接机制。根据授权对现行法律法规作出变通规定，及时向国家提请需要暂时调整或暂时停止适用法律</w:t>
      </w:r>
      <w:r>
        <w:rPr>
          <w:rFonts w:hint="eastAsia" w:ascii="仿宋_GB2312" w:hAnsi="仿宋_GB2312" w:eastAsia="仿宋_GB2312" w:cs="仿宋_GB2312"/>
          <w:sz w:val="32"/>
          <w:szCs w:val="32"/>
        </w:rPr>
        <w:t>、行政</w:t>
      </w:r>
      <w:r>
        <w:rPr>
          <w:rFonts w:ascii="仿宋_GB2312" w:hAnsi="仿宋_GB2312" w:eastAsia="仿宋_GB2312" w:cs="仿宋_GB2312"/>
          <w:sz w:val="32"/>
          <w:szCs w:val="32"/>
        </w:rPr>
        <w:t>法规部分规定的目录清单。加强高质量发展、社会治理、民生保障等重要领域立法，加快推动人工智能、无人驾驶、大数据、生物医药、医疗健康、信息服务等新兴领域立法，形成一批可复制可推广的立法成果，为国家前沿新兴领域立法探索经验。</w:t>
      </w:r>
    </w:p>
    <w:p>
      <w:pPr>
        <w:spacing w:line="600" w:lineRule="exact"/>
        <w:jc w:val="left"/>
      </w:pPr>
      <w:bookmarkStart w:id="5137" w:name="_Toc4549"/>
      <w:bookmarkStart w:id="5138" w:name="_Toc4336"/>
      <w:bookmarkStart w:id="5139" w:name="_Toc3354"/>
      <w:bookmarkStart w:id="5140" w:name="_Toc20369"/>
      <w:bookmarkStart w:id="5141" w:name="_Toc32600"/>
      <w:bookmarkStart w:id="5142" w:name="_Toc23750"/>
      <w:bookmarkStart w:id="5143" w:name="_Toc31755"/>
      <w:bookmarkStart w:id="5144" w:name="_Toc20030"/>
      <w:bookmarkStart w:id="5145" w:name="_Toc21641"/>
      <w:bookmarkStart w:id="5146" w:name="_Toc32277"/>
      <w:bookmarkStart w:id="5147" w:name="_Toc29051"/>
      <w:bookmarkStart w:id="5148" w:name="_Toc15456"/>
      <w:bookmarkStart w:id="5149" w:name="_Toc2428"/>
      <w:bookmarkStart w:id="5150" w:name="_Toc13413"/>
      <w:bookmarkStart w:id="5151" w:name="_Toc10635"/>
      <w:bookmarkStart w:id="5152" w:name="_Toc27651"/>
      <w:bookmarkStart w:id="5153" w:name="_Toc4338"/>
      <w:bookmarkStart w:id="5154" w:name="_Toc1768"/>
      <w:bookmarkStart w:id="5155" w:name="_Toc29766"/>
      <w:bookmarkStart w:id="5156" w:name="_Toc29083"/>
      <w:bookmarkStart w:id="5157" w:name="_Toc12435"/>
      <w:bookmarkStart w:id="5158" w:name="_Toc7147"/>
      <w:bookmarkStart w:id="5159" w:name="_Toc1975"/>
      <w:bookmarkStart w:id="5160" w:name="_Toc7668"/>
      <w:bookmarkStart w:id="5161" w:name="_Toc31849"/>
      <w:bookmarkStart w:id="5162" w:name="_Toc29993"/>
    </w:p>
    <w:p>
      <w:pPr>
        <w:spacing w:line="600" w:lineRule="exact"/>
        <w:jc w:val="center"/>
        <w:outlineLvl w:val="2"/>
        <w:rPr>
          <w:rFonts w:ascii="楷体" w:hAnsi="楷体" w:eastAsia="楷体" w:cs="楷体"/>
          <w:b/>
          <w:bCs/>
          <w:sz w:val="32"/>
          <w:szCs w:val="32"/>
        </w:rPr>
      </w:pPr>
      <w:bookmarkStart w:id="5163" w:name="_Toc6601"/>
      <w:bookmarkStart w:id="5164" w:name="_Toc722"/>
      <w:bookmarkStart w:id="5165" w:name="_Toc20502"/>
      <w:bookmarkStart w:id="5166" w:name="_Toc23023"/>
      <w:bookmarkStart w:id="5167" w:name="_Toc27245"/>
      <w:bookmarkStart w:id="5168" w:name="_Toc13159"/>
      <w:bookmarkStart w:id="5169" w:name="_Toc24681"/>
      <w:bookmarkStart w:id="5170" w:name="_Toc31179"/>
      <w:bookmarkStart w:id="5171" w:name="_Toc11291"/>
      <w:bookmarkStart w:id="5172" w:name="_Toc20041"/>
      <w:bookmarkStart w:id="5173" w:name="_Toc19268"/>
      <w:bookmarkStart w:id="5174" w:name="_Toc2586"/>
      <w:bookmarkStart w:id="5175" w:name="_Toc1273"/>
      <w:bookmarkStart w:id="5176" w:name="_Toc22852"/>
      <w:bookmarkStart w:id="5177" w:name="_Toc30481"/>
      <w:bookmarkStart w:id="5178" w:name="_Toc18205"/>
      <w:bookmarkStart w:id="5179" w:name="_Toc4674"/>
      <w:bookmarkStart w:id="5180" w:name="_Toc2922"/>
      <w:bookmarkStart w:id="5181" w:name="_Toc6755"/>
      <w:bookmarkStart w:id="5182" w:name="_Toc23869"/>
      <w:bookmarkStart w:id="5183" w:name="_Toc22257"/>
      <w:bookmarkStart w:id="5184" w:name="_Toc14525"/>
      <w:bookmarkStart w:id="5185" w:name="_Toc21773"/>
      <w:bookmarkStart w:id="5186" w:name="_Toc21797"/>
      <w:bookmarkStart w:id="5187" w:name="_Toc12249"/>
      <w:bookmarkStart w:id="5188" w:name="_Toc9634"/>
      <w:bookmarkStart w:id="5189" w:name="_Toc2911"/>
      <w:r>
        <w:rPr>
          <w:rFonts w:hint="eastAsia" w:ascii="楷体" w:hAnsi="楷体" w:eastAsia="楷体" w:cs="楷体"/>
          <w:b/>
          <w:bCs/>
          <w:sz w:val="32"/>
          <w:szCs w:val="32"/>
        </w:rPr>
        <w:t>第二节 建设一流法治政府</w:t>
      </w:r>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p>
    <w:p>
      <w:pPr>
        <w:pStyle w:val="8"/>
        <w:overflowPunct w:val="0"/>
        <w:spacing w:line="600" w:lineRule="exact"/>
        <w:ind w:firstLine="643"/>
        <w:rPr>
          <w:rFonts w:ascii="仿宋_GB2312" w:hAnsi="仿宋_GB2312" w:eastAsia="仿宋_GB2312" w:cs="仿宋_GB2312"/>
          <w:kern w:val="0"/>
          <w:sz w:val="32"/>
          <w:szCs w:val="32"/>
        </w:rPr>
      </w:pPr>
      <w:r>
        <w:rPr>
          <w:rFonts w:hint="eastAsia" w:ascii="仿宋_GB2312" w:hAnsi="仿宋_GB2312" w:eastAsia="仿宋_GB2312" w:cs="仿宋_GB2312"/>
          <w:b/>
          <w:sz w:val="32"/>
          <w:szCs w:val="32"/>
        </w:rPr>
        <w:t>健全依法行政工作机制。</w:t>
      </w:r>
      <w:r>
        <w:rPr>
          <w:rFonts w:hint="eastAsia" w:ascii="仿宋_GB2312" w:hAnsi="仿宋_GB2312" w:eastAsia="仿宋_GB2312" w:cs="仿宋_GB2312"/>
          <w:sz w:val="32"/>
          <w:szCs w:val="32"/>
        </w:rPr>
        <w:t>提升政府依法行政能力，建立政府公共服务正面清单和负面清单制度，明确政府与市场的边界，规范行政行为的程序和时限。完善重大行政决策程序，健全重大民生决策信息统一披露和公众参与平台，实施重大行政决策目录管理制度。健全政府规章后评估制度，及时修改和废止不适应经济社会发展要求的政府规章或规范性文件。完善政府法律顾问工作机制，加强政府专职法律顾问队伍建设，探索纳入公职律师管理。</w:t>
      </w:r>
    </w:p>
    <w:p>
      <w:pPr>
        <w:pStyle w:val="8"/>
        <w:overflowPunct w:val="0"/>
        <w:spacing w:line="600" w:lineRule="exact"/>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推进严格规范公正文明执法。</w:t>
      </w:r>
      <w:r>
        <w:rPr>
          <w:rFonts w:hint="eastAsia" w:ascii="仿宋_GB2312" w:hAnsi="仿宋_GB2312" w:eastAsia="仿宋_GB2312" w:cs="仿宋_GB2312"/>
          <w:sz w:val="32"/>
          <w:szCs w:val="32"/>
        </w:rPr>
        <w:t>完善执法程序，加强行政执法标准化建设，全面推行行政执法公示、执法全过程记录和重大执法决定法制审核制度。开展竞争执法先行试点，规范涉企执法活动，完善涉案财产处置、涉企举报投诉受理处置等机制。健全行政执法自由裁量基准制度，在民生领域全面推广直播式执法模式，积极探索柔性执法新机制。深化行政执法辅助人员改革，通过立法赋予行政执法辅助人员部分执法权限。探索建立行政执法案件电子卷宗标准，实现电子卷宗随案生成、全流程网上办案。</w:t>
      </w:r>
    </w:p>
    <w:p>
      <w:pPr>
        <w:pStyle w:val="8"/>
        <w:overflowPunct w:val="0"/>
        <w:spacing w:line="600" w:lineRule="exact"/>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加强行政权力监督。</w:t>
      </w:r>
      <w:r>
        <w:rPr>
          <w:rFonts w:hint="eastAsia" w:ascii="仿宋_GB2312" w:hAnsi="仿宋_GB2312" w:eastAsia="仿宋_GB2312" w:cs="仿宋_GB2312"/>
          <w:kern w:val="0"/>
          <w:sz w:val="32"/>
          <w:szCs w:val="32"/>
        </w:rPr>
        <w:t>大力推进政务信息公开，建立主动公开范围动态调整机制和信息公开部门协调机制，保障公众的监督权和知情权。健全政府诚信管理制度，规范承诺践约的责任和方式。</w:t>
      </w:r>
      <w:r>
        <w:rPr>
          <w:rFonts w:hint="eastAsia" w:ascii="仿宋_GB2312" w:hAnsi="仿宋_GB2312" w:eastAsia="仿宋_GB2312" w:cs="仿宋_GB2312"/>
          <w:sz w:val="32"/>
          <w:szCs w:val="32"/>
        </w:rPr>
        <w:t>完善行政执法争议协调裁决制度，有效解决部门职责交叉、推诿扯皮。</w:t>
      </w:r>
      <w:r>
        <w:rPr>
          <w:rFonts w:hint="eastAsia" w:ascii="仿宋_GB2312" w:hAnsi="仿宋_GB2312" w:eastAsia="仿宋_GB2312" w:cs="仿宋_GB2312"/>
          <w:kern w:val="0"/>
          <w:sz w:val="32"/>
          <w:szCs w:val="32"/>
        </w:rPr>
        <w:t>支持法院依法履行行政审判职责，发挥行政案件集中管辖优势，监督行政机关依法行政。</w:t>
      </w:r>
      <w:r>
        <w:rPr>
          <w:rFonts w:hint="eastAsia" w:ascii="仿宋_GB2312" w:hAnsi="仿宋_GB2312" w:eastAsia="仿宋_GB2312" w:cs="仿宋_GB2312"/>
          <w:sz w:val="32"/>
          <w:szCs w:val="32"/>
        </w:rPr>
        <w:t>建立涉嫌职务违法犯罪和行政执法过错双向移送机制，规范行政执法责任追究分类处置程序。</w:t>
      </w:r>
      <w:r>
        <w:rPr>
          <w:rFonts w:hint="eastAsia" w:ascii="仿宋_GB2312" w:hAnsi="仿宋_GB2312" w:eastAsia="仿宋_GB2312" w:cs="仿宋_GB2312"/>
          <w:kern w:val="0"/>
          <w:sz w:val="32"/>
          <w:szCs w:val="32"/>
        </w:rPr>
        <w:t>深化行政复议体制改革，</w:t>
      </w:r>
      <w:r>
        <w:rPr>
          <w:rFonts w:hint="eastAsia" w:ascii="仿宋_GB2312" w:hAnsi="仿宋_GB2312" w:eastAsia="仿宋_GB2312" w:cs="仿宋_GB2312"/>
          <w:sz w:val="32"/>
          <w:szCs w:val="32"/>
        </w:rPr>
        <w:t>建立行政复议深圳标准</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完善行政投诉体制，优化“12345”热线运行机制，建立投诉办理及考核监督制度。</w:t>
      </w:r>
    </w:p>
    <w:p>
      <w:pPr>
        <w:pStyle w:val="8"/>
        <w:overflowPunct w:val="0"/>
        <w:spacing w:line="600" w:lineRule="exact"/>
        <w:ind w:firstLine="640"/>
        <w:rPr>
          <w:rFonts w:ascii="仿宋_GB2312" w:hAnsi="仿宋_GB2312" w:eastAsia="仿宋_GB2312" w:cs="仿宋_GB2312"/>
          <w:sz w:val="32"/>
          <w:szCs w:val="32"/>
        </w:rPr>
      </w:pPr>
    </w:p>
    <w:p>
      <w:pPr>
        <w:spacing w:line="600" w:lineRule="exact"/>
        <w:jc w:val="center"/>
        <w:outlineLvl w:val="2"/>
        <w:rPr>
          <w:rFonts w:ascii="楷体" w:hAnsi="楷体" w:eastAsia="楷体" w:cs="楷体"/>
          <w:b/>
          <w:bCs/>
          <w:sz w:val="32"/>
          <w:szCs w:val="32"/>
        </w:rPr>
      </w:pPr>
      <w:bookmarkStart w:id="5190" w:name="_Toc7203"/>
      <w:bookmarkStart w:id="5191" w:name="_Toc11277"/>
      <w:bookmarkStart w:id="5192" w:name="_Toc19933"/>
      <w:bookmarkStart w:id="5193" w:name="_Toc12347"/>
      <w:bookmarkStart w:id="5194" w:name="_Toc14021"/>
      <w:bookmarkStart w:id="5195" w:name="_Toc1204"/>
      <w:bookmarkStart w:id="5196" w:name="_Toc10194"/>
      <w:bookmarkStart w:id="5197" w:name="_Toc24575"/>
      <w:bookmarkStart w:id="5198" w:name="_Toc11076"/>
      <w:bookmarkStart w:id="5199" w:name="_Toc15228"/>
      <w:bookmarkStart w:id="5200" w:name="_Toc13214"/>
      <w:bookmarkStart w:id="5201" w:name="_Toc12080"/>
      <w:bookmarkStart w:id="5202" w:name="_Toc3787"/>
      <w:bookmarkStart w:id="5203" w:name="_Toc12521"/>
      <w:bookmarkStart w:id="5204" w:name="_Toc27706"/>
      <w:bookmarkStart w:id="5205" w:name="_Toc13348"/>
      <w:bookmarkStart w:id="5206" w:name="_Toc3721"/>
      <w:bookmarkStart w:id="5207" w:name="_Toc9205"/>
      <w:bookmarkStart w:id="5208" w:name="_Toc27936"/>
      <w:bookmarkStart w:id="5209" w:name="_Toc6571"/>
      <w:bookmarkStart w:id="5210" w:name="_Toc2660"/>
      <w:bookmarkStart w:id="5211" w:name="_Toc4417"/>
      <w:bookmarkStart w:id="5212" w:name="_Toc14825"/>
      <w:bookmarkStart w:id="5213" w:name="_Toc3871"/>
      <w:bookmarkStart w:id="5214" w:name="_Toc10070"/>
      <w:bookmarkStart w:id="5215" w:name="_Toc20462"/>
      <w:bookmarkStart w:id="5216" w:name="_Toc5371"/>
      <w:bookmarkStart w:id="5217" w:name="_Toc530"/>
      <w:bookmarkStart w:id="5218" w:name="_Toc7353"/>
      <w:bookmarkStart w:id="5219" w:name="_Toc5758"/>
      <w:bookmarkStart w:id="5220" w:name="_Toc23881"/>
      <w:bookmarkStart w:id="5221" w:name="_Toc30391"/>
      <w:bookmarkStart w:id="5222" w:name="_Toc10557"/>
      <w:bookmarkStart w:id="5223" w:name="_Toc30025"/>
      <w:bookmarkStart w:id="5224" w:name="_Toc4387"/>
      <w:bookmarkStart w:id="5225" w:name="_Toc31215"/>
      <w:bookmarkStart w:id="5226" w:name="_Toc17382"/>
      <w:bookmarkStart w:id="5227" w:name="_Toc4859"/>
      <w:bookmarkStart w:id="5228" w:name="_Toc18670"/>
      <w:bookmarkStart w:id="5229" w:name="_Toc20664"/>
      <w:bookmarkStart w:id="5230" w:name="_Toc13732"/>
      <w:bookmarkStart w:id="5231" w:name="_Toc14320"/>
      <w:bookmarkStart w:id="5232" w:name="_Toc4125"/>
      <w:bookmarkStart w:id="5233" w:name="_Toc6580"/>
      <w:bookmarkStart w:id="5234" w:name="_Toc18702"/>
      <w:bookmarkStart w:id="5235" w:name="_Toc21309"/>
      <w:bookmarkStart w:id="5236" w:name="_Toc6836"/>
      <w:bookmarkStart w:id="5237" w:name="_Toc21547"/>
      <w:bookmarkStart w:id="5238" w:name="_Toc5725"/>
      <w:bookmarkStart w:id="5239" w:name="_Toc29860"/>
      <w:bookmarkStart w:id="5240" w:name="_Toc16869"/>
      <w:bookmarkStart w:id="5241" w:name="_Toc9838"/>
      <w:bookmarkStart w:id="5242" w:name="_Toc5154"/>
      <w:r>
        <w:rPr>
          <w:rFonts w:hint="eastAsia" w:ascii="楷体" w:hAnsi="楷体" w:eastAsia="楷体" w:cs="楷体"/>
          <w:b/>
          <w:bCs/>
          <w:sz w:val="32"/>
          <w:szCs w:val="32"/>
        </w:rPr>
        <w:t>第三节 全面提升司法公信力</w:t>
      </w:r>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p>
    <w:p>
      <w:pPr>
        <w:pStyle w:val="8"/>
        <w:overflowPunct w:val="0"/>
        <w:spacing w:line="600" w:lineRule="exact"/>
        <w:ind w:firstLine="643"/>
        <w:rPr>
          <w:rFonts w:ascii="仿宋_GB2312" w:hAnsi="仿宋_GB2312" w:eastAsia="黑体" w:cs="仿宋_GB2312"/>
          <w:sz w:val="32"/>
          <w:szCs w:val="32"/>
        </w:rPr>
      </w:pPr>
      <w:r>
        <w:rPr>
          <w:rFonts w:hint="eastAsia" w:ascii="仿宋_GB2312" w:hAnsi="仿宋_GB2312" w:eastAsia="仿宋_GB2312" w:cs="仿宋_GB2312"/>
          <w:b/>
          <w:sz w:val="32"/>
          <w:szCs w:val="32"/>
        </w:rPr>
        <w:t>深化司法体制综合配套改革。</w:t>
      </w:r>
      <w:r>
        <w:rPr>
          <w:rFonts w:hint="eastAsia" w:ascii="仿宋_GB2312" w:hAnsi="仿宋_GB2312" w:eastAsia="仿宋_GB2312" w:cs="仿宋_GB2312"/>
          <w:kern w:val="0"/>
          <w:sz w:val="32"/>
          <w:szCs w:val="32"/>
        </w:rPr>
        <w:t>深化以审判为中心的刑事诉讼制度改革，</w:t>
      </w:r>
      <w:r>
        <w:rPr>
          <w:rFonts w:hint="eastAsia" w:ascii="仿宋_GB2312" w:hAnsi="仿宋_GB2312" w:eastAsia="仿宋_GB2312" w:cs="仿宋_GB2312"/>
          <w:sz w:val="32"/>
          <w:szCs w:val="32"/>
        </w:rPr>
        <w:t>统一常见多发刑事案件基本证据标准</w:t>
      </w:r>
      <w:r>
        <w:rPr>
          <w:rFonts w:hint="eastAsia" w:ascii="仿宋_GB2312" w:hAnsi="仿宋_GB2312" w:eastAsia="仿宋_GB2312" w:cs="仿宋_GB2312"/>
          <w:kern w:val="0"/>
          <w:sz w:val="32"/>
          <w:szCs w:val="32"/>
        </w:rPr>
        <w:t>。推进民事诉讼程序繁简分流改革试点，优化司法确认程序、完善小额诉讼程序、完善简易程序规则、扩大独任制适用范围、健全电子诉讼规则。</w:t>
      </w:r>
      <w:r>
        <w:rPr>
          <w:rFonts w:hint="eastAsia" w:ascii="仿宋_GB2312" w:hAnsi="仿宋_GB2312" w:eastAsia="仿宋_GB2312" w:cs="仿宋_GB2312"/>
          <w:sz w:val="32"/>
          <w:szCs w:val="32"/>
        </w:rPr>
        <w:t>深化行政诉讼机制改革，推动完善行政争议实质性化解机制。深化公益诉讼制度改革，拓展公益诉讼案件范围。构建“切实解决执行难”长效机制，实行基层执行工作网格化管理，推动公安、检察机关简化拒执罪移送程序。创建中国特色社会主义检察制度示范院，探索扩大附条件不起诉制度适用范围，全面推开企业刑事合规改革试点。</w:t>
      </w:r>
      <w:r>
        <w:rPr>
          <w:rFonts w:hint="eastAsia" w:ascii="仿宋_GB2312" w:hAnsi="仿宋_GB2312" w:eastAsia="仿宋_GB2312" w:cs="仿宋_GB2312"/>
          <w:kern w:val="0"/>
          <w:sz w:val="32"/>
          <w:szCs w:val="32"/>
        </w:rPr>
        <w:t>建设司法公信力、法治竞争力、改革创新力、国际影响力卓著的先行示范法院。</w:t>
      </w:r>
    </w:p>
    <w:p>
      <w:pPr>
        <w:pStyle w:val="8"/>
        <w:overflowPunct w:val="0"/>
        <w:spacing w:line="600" w:lineRule="exact"/>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加强司法规范化建设。</w:t>
      </w:r>
      <w:r>
        <w:rPr>
          <w:rFonts w:hint="eastAsia" w:ascii="仿宋_GB2312" w:hAnsi="仿宋_GB2312" w:eastAsia="仿宋_GB2312" w:cs="仿宋_GB2312"/>
          <w:kern w:val="0"/>
          <w:sz w:val="32"/>
          <w:szCs w:val="32"/>
        </w:rPr>
        <w:t>推进审判工作和执行工作的标准化建设，规范审判权和执行权的行使。加快建设新型司法基础设施，推进政法跨部门大数据办案平台建设应用。加强司法文明建设，保障当事人的合法权益，切实降低审前羁押率。探索建立中国特色社会主义案例制度、</w:t>
      </w:r>
      <w:r>
        <w:rPr>
          <w:rFonts w:hint="eastAsia" w:ascii="仿宋_GB2312" w:hAnsi="仿宋_GB2312" w:eastAsia="仿宋_GB2312" w:cs="仿宋_GB2312"/>
          <w:sz w:val="32"/>
          <w:szCs w:val="32"/>
        </w:rPr>
        <w:t>检察机关技术调查官制度</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提升涉外涉港澳台审判专业化水平，完善域外法律查明和适用机制。</w:t>
      </w:r>
    </w:p>
    <w:p>
      <w:pPr>
        <w:pStyle w:val="8"/>
        <w:overflowPunct w:val="0"/>
        <w:spacing w:line="600" w:lineRule="exact"/>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健全司法监督机制。</w:t>
      </w:r>
      <w:r>
        <w:rPr>
          <w:rFonts w:hint="eastAsia" w:ascii="仿宋_GB2312" w:hAnsi="仿宋_GB2312" w:eastAsia="仿宋_GB2312" w:cs="仿宋_GB2312"/>
          <w:sz w:val="32"/>
          <w:szCs w:val="32"/>
        </w:rPr>
        <w:t>全面落实司法责任制，加快推进执法司法制约监督体系改革和建设。</w:t>
      </w:r>
      <w:r>
        <w:rPr>
          <w:rFonts w:hint="eastAsia" w:ascii="仿宋_GB2312" w:hAnsi="仿宋_GB2312" w:eastAsia="仿宋_GB2312" w:cs="仿宋_GB2312"/>
          <w:kern w:val="0"/>
          <w:sz w:val="32"/>
          <w:szCs w:val="32"/>
        </w:rPr>
        <w:t>完善检察制度，</w:t>
      </w:r>
      <w:r>
        <w:rPr>
          <w:rFonts w:hint="eastAsia" w:ascii="仿宋_GB2312" w:hAnsi="仿宋_GB2312" w:eastAsia="仿宋_GB2312" w:cs="仿宋_GB2312"/>
          <w:sz w:val="32"/>
          <w:szCs w:val="32"/>
        </w:rPr>
        <w:t>提升法律监督能力，建立公安机关执法办案管理中心派驻检察机制，完善民事、行政案件正副卷宗一并调阅制度，</w:t>
      </w:r>
      <w:r>
        <w:rPr>
          <w:rFonts w:hint="eastAsia" w:ascii="仿宋_GB2312" w:hAnsi="仿宋_GB2312" w:eastAsia="仿宋_GB2312" w:cs="仿宋_GB2312"/>
          <w:kern w:val="0"/>
          <w:sz w:val="32"/>
          <w:szCs w:val="32"/>
        </w:rPr>
        <w:t>探索检察机关对行政违法行为和强制性侦查措施的法律监督。</w:t>
      </w:r>
      <w:r>
        <w:rPr>
          <w:rFonts w:hint="eastAsia" w:ascii="仿宋_GB2312" w:hAnsi="仿宋_GB2312" w:eastAsia="仿宋_GB2312" w:cs="仿宋_GB2312"/>
          <w:sz w:val="32"/>
          <w:szCs w:val="32"/>
        </w:rPr>
        <w:t>健全公检法以及行政执法机关案件信息共享机制。</w:t>
      </w:r>
      <w:r>
        <w:rPr>
          <w:rFonts w:hint="eastAsia" w:ascii="仿宋_GB2312" w:hAnsi="仿宋_GB2312" w:eastAsia="仿宋_GB2312" w:cs="仿宋_GB2312"/>
          <w:kern w:val="0"/>
          <w:sz w:val="32"/>
          <w:szCs w:val="32"/>
        </w:rPr>
        <w:t>深化人民陪审员、人民监督员制度改革，建立港澳籍人士担任人民陪审员机制，支持前海聘请符合条件的港澳法律界人士担任司法机关特别检察官助理、人民监督员。</w:t>
      </w:r>
      <w:r>
        <w:rPr>
          <w:rFonts w:hint="eastAsia" w:ascii="仿宋_GB2312" w:hAnsi="仿宋_GB2312" w:eastAsia="仿宋_GB2312" w:cs="仿宋_GB2312"/>
          <w:sz w:val="32"/>
          <w:szCs w:val="32"/>
        </w:rPr>
        <w:t>深化司法公开工作，全面落实裁判文书和公诉文书依法及时网上公开。</w:t>
      </w:r>
    </w:p>
    <w:p>
      <w:pPr>
        <w:pStyle w:val="8"/>
        <w:overflowPunct w:val="0"/>
        <w:spacing w:line="600" w:lineRule="exact"/>
        <w:ind w:firstLine="640"/>
        <w:rPr>
          <w:rFonts w:ascii="仿宋_GB2312" w:hAnsi="仿宋_GB2312" w:eastAsia="仿宋_GB2312" w:cs="仿宋_GB2312"/>
          <w:sz w:val="32"/>
          <w:szCs w:val="32"/>
        </w:rPr>
      </w:pPr>
    </w:p>
    <w:p>
      <w:pPr>
        <w:pStyle w:val="8"/>
        <w:overflowPunct w:val="0"/>
        <w:spacing w:line="600" w:lineRule="exact"/>
        <w:ind w:firstLine="640"/>
        <w:rPr>
          <w:rFonts w:ascii="仿宋_GB2312" w:hAnsi="仿宋_GB2312" w:eastAsia="仿宋_GB2312" w:cs="仿宋_GB2312"/>
          <w:sz w:val="32"/>
          <w:szCs w:val="32"/>
        </w:rPr>
      </w:pPr>
    </w:p>
    <w:p>
      <w:pPr>
        <w:spacing w:line="600" w:lineRule="exact"/>
        <w:jc w:val="center"/>
        <w:outlineLvl w:val="2"/>
        <w:rPr>
          <w:rFonts w:ascii="楷体" w:hAnsi="楷体" w:eastAsia="楷体" w:cs="楷体"/>
          <w:b/>
          <w:bCs/>
          <w:sz w:val="32"/>
          <w:szCs w:val="32"/>
        </w:rPr>
      </w:pPr>
      <w:bookmarkStart w:id="5243" w:name="_Toc9605"/>
      <w:bookmarkStart w:id="5244" w:name="_Toc26247"/>
      <w:bookmarkStart w:id="5245" w:name="_Toc9429"/>
      <w:bookmarkStart w:id="5246" w:name="_Toc22660"/>
      <w:bookmarkStart w:id="5247" w:name="_Toc27947"/>
      <w:bookmarkStart w:id="5248" w:name="_Toc21391"/>
      <w:bookmarkStart w:id="5249" w:name="_Toc6560"/>
      <w:bookmarkStart w:id="5250" w:name="_Toc24725"/>
      <w:bookmarkStart w:id="5251" w:name="_Toc5796"/>
      <w:bookmarkStart w:id="5252" w:name="_Toc5404"/>
      <w:bookmarkStart w:id="5253" w:name="_Toc23346"/>
      <w:bookmarkStart w:id="5254" w:name="_Toc10393"/>
      <w:bookmarkStart w:id="5255" w:name="_Toc25521"/>
      <w:bookmarkStart w:id="5256" w:name="_Toc23728"/>
      <w:bookmarkStart w:id="5257" w:name="_Toc2334"/>
      <w:bookmarkStart w:id="5258" w:name="_Toc5468"/>
      <w:bookmarkStart w:id="5259" w:name="_Toc17088"/>
      <w:bookmarkStart w:id="5260" w:name="_Toc9181"/>
      <w:bookmarkStart w:id="5261" w:name="_Toc22101"/>
      <w:bookmarkStart w:id="5262" w:name="_Toc25302"/>
      <w:bookmarkStart w:id="5263" w:name="_Toc6441"/>
      <w:bookmarkStart w:id="5264" w:name="_Toc24351"/>
      <w:bookmarkStart w:id="5265" w:name="_Toc6057"/>
      <w:bookmarkStart w:id="5266" w:name="_Toc7763"/>
      <w:bookmarkStart w:id="5267" w:name="_Toc21810"/>
      <w:bookmarkStart w:id="5268" w:name="_Toc1727"/>
      <w:bookmarkStart w:id="5269" w:name="_Toc241"/>
      <w:bookmarkStart w:id="5270" w:name="_Toc28920"/>
      <w:bookmarkStart w:id="5271" w:name="_Toc3521"/>
      <w:bookmarkStart w:id="5272" w:name="_Toc29069"/>
      <w:bookmarkStart w:id="5273" w:name="_Toc8924"/>
      <w:bookmarkStart w:id="5274" w:name="_Toc7490"/>
      <w:bookmarkStart w:id="5275" w:name="_Toc10429"/>
      <w:bookmarkStart w:id="5276" w:name="_Toc7301"/>
      <w:bookmarkStart w:id="5277" w:name="_Toc3445"/>
      <w:bookmarkStart w:id="5278" w:name="_Toc29392"/>
      <w:bookmarkStart w:id="5279" w:name="_Toc2434"/>
      <w:bookmarkStart w:id="5280" w:name="_Toc2056"/>
      <w:bookmarkStart w:id="5281" w:name="_Toc7162"/>
      <w:bookmarkStart w:id="5282" w:name="_Toc15571"/>
      <w:bookmarkStart w:id="5283" w:name="_Toc12296"/>
      <w:bookmarkStart w:id="5284" w:name="_Toc27239"/>
      <w:bookmarkStart w:id="5285" w:name="_Toc21652"/>
      <w:bookmarkStart w:id="5286" w:name="_Toc28950"/>
      <w:bookmarkStart w:id="5287" w:name="_Toc20248"/>
      <w:bookmarkStart w:id="5288" w:name="_Toc21571"/>
      <w:bookmarkStart w:id="5289" w:name="_Toc29280"/>
      <w:bookmarkStart w:id="5290" w:name="_Toc2477"/>
      <w:bookmarkStart w:id="5291" w:name="_Toc3912"/>
      <w:bookmarkStart w:id="5292" w:name="_Toc16629"/>
      <w:bookmarkStart w:id="5293" w:name="_Toc24305"/>
      <w:bookmarkStart w:id="5294" w:name="_Toc29206"/>
      <w:bookmarkStart w:id="5295" w:name="_Toc20286"/>
      <w:r>
        <w:rPr>
          <w:rFonts w:hint="eastAsia" w:ascii="楷体" w:hAnsi="楷体" w:eastAsia="楷体" w:cs="楷体"/>
          <w:b/>
          <w:bCs/>
          <w:sz w:val="32"/>
          <w:szCs w:val="32"/>
        </w:rPr>
        <w:t>第四节 创建模范法治社会</w:t>
      </w:r>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p>
    <w:p>
      <w:pPr>
        <w:pStyle w:val="8"/>
        <w:overflowPunct w:val="0"/>
        <w:spacing w:line="600" w:lineRule="exact"/>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加大全面普法力度。</w:t>
      </w:r>
      <w:r>
        <w:rPr>
          <w:rFonts w:hint="eastAsia" w:ascii="仿宋_GB2312" w:hAnsi="仿宋_GB2312" w:eastAsia="仿宋_GB2312" w:cs="仿宋_GB2312"/>
          <w:sz w:val="32"/>
          <w:szCs w:val="32"/>
        </w:rPr>
        <w:t>制定实施“八五”普法计划，落实“新市民普法计划”，推广“法治第一课”、新市民宪法宣誓等活动，加强民法典普法。实施精准普法，推进领导干部学法用法，加强青少年学生法治教育，营造尊法学法守法的社会风尚。创新普法产品策划与设计，</w:t>
      </w:r>
      <w:r>
        <w:rPr>
          <w:rFonts w:hint="eastAsia" w:ascii="仿宋_GB2312" w:hAnsi="仿宋_GB2312" w:eastAsia="仿宋_GB2312" w:cs="仿宋_GB2312"/>
          <w:bCs/>
          <w:sz w:val="32"/>
          <w:szCs w:val="32"/>
        </w:rPr>
        <w:t>推动生态法治公园、刑法公园等主题公园规划建设。完善立法、执法、司法机关齐抓共管的普法责任制。</w:t>
      </w:r>
    </w:p>
    <w:p>
      <w:pPr>
        <w:pStyle w:val="8"/>
        <w:overflowPunct w:val="0"/>
        <w:spacing w:line="600" w:lineRule="exact"/>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构建覆盖全业务、全时空的法律服务体系。</w:t>
      </w:r>
      <w:r>
        <w:rPr>
          <w:rFonts w:hint="eastAsia" w:ascii="仿宋_GB2312" w:hAnsi="仿宋_GB2312" w:eastAsia="仿宋_GB2312" w:cs="仿宋_GB2312"/>
          <w:sz w:val="32"/>
          <w:szCs w:val="32"/>
        </w:rPr>
        <w:t>深化公共法律服务体系建设，推动公共法律服务实体、网络和热线融合发展。加强法治工作队伍建设，鼓励具备条件的高等院校建设高水平法学院、律师学院。完善法律援助制度，健全律师执业权利保障机制及惩戒机制。推动公证机构改革创新发展，拓宽公证服务范围。推动仲裁体制改革，</w:t>
      </w:r>
      <w:r>
        <w:rPr>
          <w:rFonts w:hint="eastAsia" w:ascii="仿宋_GB2312" w:hAnsi="仿宋_GB2312" w:eastAsia="仿宋_GB2312" w:cs="仿宋_GB2312"/>
          <w:sz w:val="32"/>
          <w:szCs w:val="32"/>
          <w:lang w:val="zh-CN"/>
        </w:rPr>
        <w:t>建设粤港澳大湾区国际仲裁中心</w:t>
      </w:r>
      <w:r>
        <w:rPr>
          <w:rFonts w:hint="eastAsia" w:ascii="仿宋_GB2312" w:hAnsi="仿宋_GB2312" w:eastAsia="仿宋_GB2312" w:cs="仿宋_GB2312"/>
          <w:sz w:val="32"/>
          <w:szCs w:val="32"/>
        </w:rPr>
        <w:t>。提升涉外法律服务水平，加强深港澳司法合作交流，建设粤港澳大湾区司法研究院，深化粤港澳联营律师事务所试点，健全国际法律服务和纠纷解决机制。</w:t>
      </w:r>
    </w:p>
    <w:p>
      <w:pPr>
        <w:pStyle w:val="8"/>
        <w:overflowPunct w:val="0"/>
        <w:spacing w:line="600" w:lineRule="exact"/>
        <w:ind w:firstLine="640"/>
        <w:rPr>
          <w:rFonts w:ascii="仿宋_GB2312" w:hAnsi="仿宋_GB2312" w:eastAsia="仿宋_GB2312" w:cs="仿宋_GB2312"/>
          <w:sz w:val="32"/>
          <w:szCs w:val="32"/>
        </w:rPr>
      </w:pPr>
    </w:p>
    <w:p>
      <w:pPr>
        <w:spacing w:line="600" w:lineRule="exact"/>
        <w:jc w:val="center"/>
        <w:outlineLvl w:val="2"/>
        <w:rPr>
          <w:rFonts w:ascii="楷体" w:hAnsi="楷体" w:eastAsia="楷体" w:cs="楷体"/>
          <w:b/>
          <w:bCs/>
          <w:sz w:val="32"/>
          <w:szCs w:val="32"/>
        </w:rPr>
      </w:pPr>
      <w:bookmarkStart w:id="5296" w:name="_Toc6176"/>
      <w:bookmarkStart w:id="5297" w:name="_Toc3442"/>
      <w:bookmarkStart w:id="5298" w:name="_Toc23864"/>
      <w:bookmarkStart w:id="5299" w:name="_Toc26154"/>
      <w:bookmarkStart w:id="5300" w:name="_Toc11182"/>
      <w:bookmarkStart w:id="5301" w:name="_Toc5666"/>
      <w:bookmarkStart w:id="5302" w:name="_Toc19424"/>
      <w:bookmarkStart w:id="5303" w:name="_Toc5341"/>
      <w:bookmarkStart w:id="5304" w:name="_Toc7508"/>
      <w:bookmarkStart w:id="5305" w:name="_Toc6378"/>
      <w:bookmarkStart w:id="5306" w:name="_Toc796"/>
      <w:bookmarkStart w:id="5307" w:name="_Toc6932"/>
      <w:bookmarkStart w:id="5308" w:name="_Toc5729"/>
      <w:bookmarkStart w:id="5309" w:name="_Toc899"/>
      <w:bookmarkStart w:id="5310" w:name="_Toc3271"/>
      <w:bookmarkStart w:id="5311" w:name="_Toc4635"/>
      <w:bookmarkStart w:id="5312" w:name="_Toc9134"/>
      <w:bookmarkStart w:id="5313" w:name="_Toc9145"/>
      <w:bookmarkStart w:id="5314" w:name="_Toc9269"/>
      <w:bookmarkStart w:id="5315" w:name="_Toc16455"/>
      <w:bookmarkStart w:id="5316" w:name="_Toc1217"/>
      <w:bookmarkStart w:id="5317" w:name="_Toc25740"/>
      <w:bookmarkStart w:id="5318" w:name="_Toc30711"/>
      <w:r>
        <w:rPr>
          <w:rFonts w:hint="eastAsia" w:ascii="楷体" w:hAnsi="楷体" w:eastAsia="楷体" w:cs="楷体"/>
          <w:b/>
          <w:bCs/>
          <w:sz w:val="32"/>
          <w:szCs w:val="32"/>
        </w:rPr>
        <w:t>第五节 全面加强民主政治建设</w:t>
      </w:r>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p>
    <w:p>
      <w:pPr>
        <w:overflowPunct w:val="0"/>
        <w:autoSpaceDE w:val="0"/>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坚持和完善人民代表大会制度，支持和保障人大依法行使立法权、监督权、决定权、任免权，强化人大代表与人民群众的联系，扩大人民有序政治参与。健全人民政协工作制度，充分发挥专门协商机构作用，提高政治协商、民主监督、参政议政水平，更好凝聚共识，探索将协商创新成果纳入制度保障。巩固和发展最广泛的爱国统一战线，构建有利于党外知识分子和新的社会阶层人士干事创业的体制机制，全面做好民族宗教、双拥共建等工作，广泛团结联系港澳台同胞、海外侨胞和归侨侨眷。</w:t>
      </w:r>
    </w:p>
    <w:p>
      <w:pPr>
        <w:pStyle w:val="8"/>
        <w:overflowPunct w:val="0"/>
        <w:spacing w:line="600" w:lineRule="exact"/>
        <w:ind w:firstLine="640"/>
        <w:rPr>
          <w:rFonts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p>
      <w:pPr>
        <w:spacing w:line="600" w:lineRule="exact"/>
        <w:jc w:val="center"/>
        <w:outlineLvl w:val="0"/>
        <w:rPr>
          <w:rFonts w:ascii="黑体" w:hAnsi="黑体" w:eastAsia="黑体" w:cs="黑体"/>
          <w:sz w:val="40"/>
          <w:szCs w:val="40"/>
        </w:rPr>
      </w:pPr>
      <w:bookmarkStart w:id="5319" w:name="_Toc25189"/>
      <w:bookmarkStart w:id="5320" w:name="_Toc9552"/>
      <w:bookmarkStart w:id="5321" w:name="_Toc15763"/>
      <w:bookmarkStart w:id="5322" w:name="_Toc16399"/>
      <w:bookmarkStart w:id="5323" w:name="_Toc17545"/>
      <w:bookmarkStart w:id="5324" w:name="_Toc30727"/>
      <w:bookmarkStart w:id="5325" w:name="_Toc13380"/>
      <w:bookmarkStart w:id="5326" w:name="_Toc20504"/>
      <w:bookmarkStart w:id="5327" w:name="_Toc19034"/>
      <w:bookmarkStart w:id="5328" w:name="_Toc29921"/>
      <w:bookmarkStart w:id="5329" w:name="_Toc26377"/>
      <w:bookmarkStart w:id="5330" w:name="_Toc17183"/>
      <w:bookmarkStart w:id="5331" w:name="_Toc24571"/>
      <w:bookmarkStart w:id="5332" w:name="_Toc18144"/>
      <w:bookmarkStart w:id="5333" w:name="_Toc23019"/>
      <w:bookmarkStart w:id="5334" w:name="_Toc24801"/>
      <w:bookmarkStart w:id="5335" w:name="_Toc7849"/>
      <w:bookmarkStart w:id="5336" w:name="_Toc16625"/>
      <w:bookmarkStart w:id="5337" w:name="_Toc10308"/>
      <w:bookmarkStart w:id="5338" w:name="_Toc22679"/>
      <w:bookmarkStart w:id="5339" w:name="_Toc23553"/>
      <w:bookmarkStart w:id="5340" w:name="_Toc12341"/>
      <w:bookmarkStart w:id="5341" w:name="_Toc3991"/>
      <w:bookmarkStart w:id="5342" w:name="_Toc5099"/>
      <w:bookmarkStart w:id="5343" w:name="_Toc27083"/>
      <w:bookmarkStart w:id="5344" w:name="_Toc16263"/>
      <w:bookmarkStart w:id="5345" w:name="_Toc9903"/>
      <w:bookmarkStart w:id="5346" w:name="_Toc11719"/>
      <w:bookmarkStart w:id="5347" w:name="_Toc23658"/>
      <w:bookmarkStart w:id="5348" w:name="_Toc8626"/>
      <w:bookmarkStart w:id="5349" w:name="_Toc4698"/>
      <w:bookmarkStart w:id="5350" w:name="_Toc18991"/>
      <w:bookmarkStart w:id="5351" w:name="_Toc4117"/>
      <w:bookmarkStart w:id="5352" w:name="_Toc10180"/>
      <w:bookmarkStart w:id="5353" w:name="_Toc9789"/>
      <w:bookmarkStart w:id="5354" w:name="_Toc518"/>
      <w:bookmarkStart w:id="5355" w:name="_Toc9060"/>
      <w:bookmarkStart w:id="5356" w:name="_Toc8663"/>
      <w:bookmarkStart w:id="5357" w:name="_Toc28423"/>
      <w:bookmarkStart w:id="5358" w:name="_Toc4480"/>
      <w:bookmarkStart w:id="5359" w:name="_Toc10109"/>
      <w:bookmarkStart w:id="5360" w:name="_Toc25434"/>
      <w:bookmarkStart w:id="5361" w:name="_Toc14143"/>
      <w:bookmarkStart w:id="5362" w:name="_Toc21398"/>
      <w:bookmarkStart w:id="5363" w:name="_Toc2779"/>
      <w:bookmarkStart w:id="5364" w:name="_Toc20873"/>
      <w:bookmarkStart w:id="5365" w:name="_Toc27916"/>
      <w:bookmarkStart w:id="5366" w:name="_Toc30753"/>
      <w:bookmarkStart w:id="5367" w:name="_Toc26752"/>
      <w:bookmarkStart w:id="5368" w:name="_Toc26384"/>
      <w:bookmarkStart w:id="5369" w:name="_Toc8475"/>
      <w:bookmarkStart w:id="5370" w:name="_Toc19166"/>
      <w:bookmarkStart w:id="5371" w:name="_Toc11693"/>
      <w:r>
        <w:rPr>
          <w:rFonts w:hint="eastAsia" w:ascii="黑体" w:hAnsi="黑体" w:eastAsia="黑体" w:cs="黑体"/>
          <w:sz w:val="40"/>
          <w:szCs w:val="40"/>
        </w:rPr>
        <w:t>第九篇 提高统筹发展和安全的能力</w:t>
      </w:r>
      <w:bookmarkEnd w:id="5319"/>
      <w:bookmarkEnd w:id="5320"/>
      <w:bookmarkEnd w:id="5321"/>
      <w:bookmarkEnd w:id="5322"/>
    </w:p>
    <w:p>
      <w:pPr>
        <w:spacing w:line="600" w:lineRule="exact"/>
      </w:pPr>
    </w:p>
    <w:p>
      <w:pPr>
        <w:overflowPunct w:val="0"/>
        <w:autoSpaceDE w:val="0"/>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贯彻落实总体国家安全观，统筹传统安全和非传统安全，把安全发展贯穿城市发展各领域和全过程，有效防范化解各类重大安全风险，牢牢守住安全发展底线。</w:t>
      </w:r>
    </w:p>
    <w:p>
      <w:pPr>
        <w:spacing w:line="600" w:lineRule="exact"/>
      </w:pPr>
    </w:p>
    <w:p>
      <w:pPr>
        <w:spacing w:line="600" w:lineRule="exact"/>
        <w:jc w:val="center"/>
        <w:outlineLvl w:val="1"/>
        <w:rPr>
          <w:rFonts w:ascii="黑体" w:hAnsi="黑体" w:eastAsia="黑体" w:cs="黑体"/>
          <w:sz w:val="36"/>
          <w:szCs w:val="36"/>
        </w:rPr>
      </w:pPr>
      <w:bookmarkStart w:id="5372" w:name="_Toc29965"/>
      <w:bookmarkStart w:id="5373" w:name="_Toc475"/>
      <w:bookmarkStart w:id="5374" w:name="_Toc23229"/>
      <w:bookmarkStart w:id="5375" w:name="_Toc10101"/>
      <w:r>
        <w:rPr>
          <w:rFonts w:hint="eastAsia"/>
        </w:rPr>
        <w:fldChar w:fldCharType="begin"/>
      </w:r>
      <w:r>
        <w:instrText xml:space="preserve"> HYPERLINK \l "_Toc23410" </w:instrText>
      </w:r>
      <w:r>
        <w:rPr>
          <w:rFonts w:hint="eastAsia"/>
        </w:rPr>
        <w:fldChar w:fldCharType="separate"/>
      </w:r>
      <w:r>
        <w:rPr>
          <w:rFonts w:hint="eastAsia" w:ascii="黑体" w:hAnsi="黑体" w:eastAsia="黑体" w:cs="黑体"/>
          <w:sz w:val="36"/>
          <w:szCs w:val="36"/>
        </w:rPr>
        <w:t xml:space="preserve">第十八章 </w:t>
      </w:r>
      <w:r>
        <w:rPr>
          <w:rFonts w:hint="eastAsia" w:ascii="黑体" w:hAnsi="黑体" w:eastAsia="黑体" w:cs="黑体"/>
          <w:sz w:val="36"/>
          <w:szCs w:val="36"/>
        </w:rPr>
        <w:fldChar w:fldCharType="end"/>
      </w:r>
      <w:r>
        <w:rPr>
          <w:rFonts w:hint="eastAsia" w:ascii="黑体" w:hAnsi="黑体" w:eastAsia="黑体" w:cs="黑体"/>
          <w:sz w:val="36"/>
          <w:szCs w:val="36"/>
        </w:rPr>
        <w:t>建设更具韧性的安全城市</w:t>
      </w:r>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p>
    <w:p>
      <w:pPr>
        <w:pStyle w:val="14"/>
        <w:spacing w:line="600" w:lineRule="exact"/>
        <w:ind w:firstLine="640"/>
      </w:pPr>
    </w:p>
    <w:p>
      <w:pPr>
        <w:pStyle w:val="8"/>
        <w:spacing w:line="600" w:lineRule="exact"/>
        <w:ind w:firstLine="640"/>
        <w:rPr>
          <w:rFonts w:ascii="仿宋_GB2312" w:hAnsi="仿宋" w:eastAsia="仿宋_GB2312" w:cs="仿宋"/>
          <w:sz w:val="32"/>
          <w:szCs w:val="32"/>
        </w:rPr>
      </w:pPr>
      <w:r>
        <w:rPr>
          <w:rFonts w:hint="eastAsia" w:ascii="仿宋_GB2312" w:hAnsi="仿宋" w:eastAsia="仿宋_GB2312" w:cs="仿宋"/>
          <w:sz w:val="32"/>
          <w:szCs w:val="32"/>
        </w:rPr>
        <w:t>坚持人民至上、生命至上，筑牢城市安全防线，建立以安全生产为基础的综合性、全方位、系统化的城市安全发展体系，为市民群众营造安全高效、平安和谐的生产生活环境，打造世界一流的安全发展示范城市。</w:t>
      </w:r>
    </w:p>
    <w:p>
      <w:pPr>
        <w:pStyle w:val="8"/>
        <w:spacing w:line="600" w:lineRule="exact"/>
        <w:ind w:firstLine="640"/>
        <w:rPr>
          <w:rFonts w:ascii="仿宋_GB2312" w:hAnsi="仿宋" w:eastAsia="仿宋_GB2312" w:cs="仿宋"/>
          <w:sz w:val="32"/>
          <w:szCs w:val="32"/>
        </w:rPr>
      </w:pPr>
    </w:p>
    <w:p>
      <w:pPr>
        <w:spacing w:line="600" w:lineRule="exact"/>
        <w:jc w:val="center"/>
        <w:outlineLvl w:val="2"/>
        <w:rPr>
          <w:rFonts w:ascii="楷体" w:hAnsi="楷体" w:eastAsia="楷体" w:cs="楷体"/>
          <w:b/>
          <w:bCs/>
          <w:sz w:val="32"/>
          <w:szCs w:val="32"/>
        </w:rPr>
      </w:pPr>
      <w:bookmarkStart w:id="5376" w:name="_Toc7040"/>
      <w:bookmarkStart w:id="5377" w:name="_Toc9311"/>
      <w:bookmarkStart w:id="5378" w:name="_Toc1187"/>
      <w:bookmarkStart w:id="5379" w:name="_Toc28187"/>
      <w:bookmarkStart w:id="5380" w:name="_Toc1811"/>
      <w:bookmarkStart w:id="5381" w:name="_Toc22219"/>
      <w:bookmarkStart w:id="5382" w:name="_Toc23861"/>
      <w:bookmarkStart w:id="5383" w:name="_Toc6401"/>
      <w:bookmarkStart w:id="5384" w:name="_Toc17573"/>
      <w:bookmarkStart w:id="5385" w:name="_Toc18809"/>
      <w:bookmarkStart w:id="5386" w:name="_Toc16015"/>
      <w:bookmarkStart w:id="5387" w:name="_Toc9803"/>
      <w:bookmarkStart w:id="5388" w:name="_Toc29873"/>
      <w:bookmarkStart w:id="5389" w:name="_Toc17263"/>
      <w:bookmarkStart w:id="5390" w:name="_Toc13550"/>
      <w:bookmarkStart w:id="5391" w:name="_Toc12337"/>
      <w:bookmarkStart w:id="5392" w:name="_Toc5615"/>
      <w:bookmarkStart w:id="5393" w:name="_Toc6048"/>
      <w:bookmarkStart w:id="5394" w:name="_Toc16512"/>
      <w:bookmarkStart w:id="5395" w:name="_Toc5966"/>
      <w:bookmarkStart w:id="5396" w:name="_Toc11376"/>
      <w:bookmarkStart w:id="5397" w:name="_Toc13224"/>
      <w:bookmarkStart w:id="5398" w:name="_Toc30112"/>
      <w:bookmarkStart w:id="5399" w:name="_Toc29987"/>
      <w:bookmarkStart w:id="5400" w:name="_Toc13482"/>
      <w:bookmarkStart w:id="5401" w:name="_Toc32436"/>
      <w:bookmarkStart w:id="5402" w:name="_Toc27185"/>
      <w:bookmarkStart w:id="5403" w:name="_Toc12608"/>
      <w:bookmarkStart w:id="5404" w:name="_Toc28101"/>
      <w:bookmarkStart w:id="5405" w:name="_Toc3574"/>
      <w:bookmarkStart w:id="5406" w:name="_Toc6854"/>
      <w:bookmarkStart w:id="5407" w:name="_Toc16749"/>
      <w:bookmarkStart w:id="5408" w:name="_Toc3833"/>
      <w:bookmarkStart w:id="5409" w:name="_Toc18530"/>
      <w:bookmarkStart w:id="5410" w:name="_Toc504"/>
      <w:bookmarkStart w:id="5411" w:name="_Toc21295"/>
      <w:bookmarkStart w:id="5412" w:name="_Toc8201"/>
      <w:bookmarkStart w:id="5413" w:name="_Toc12159"/>
      <w:bookmarkStart w:id="5414" w:name="_Toc20637"/>
      <w:bookmarkStart w:id="5415" w:name="_Toc3835"/>
      <w:bookmarkStart w:id="5416" w:name="_Toc27365"/>
      <w:bookmarkStart w:id="5417" w:name="_Toc11941"/>
      <w:bookmarkStart w:id="5418" w:name="_Toc14081"/>
      <w:bookmarkStart w:id="5419" w:name="_Toc11004"/>
      <w:bookmarkStart w:id="5420" w:name="_Toc25549"/>
      <w:bookmarkStart w:id="5421" w:name="_Toc14804"/>
      <w:bookmarkStart w:id="5422" w:name="_Toc7522"/>
      <w:bookmarkStart w:id="5423" w:name="_Toc2200"/>
      <w:bookmarkStart w:id="5424" w:name="_Toc22569"/>
      <w:bookmarkStart w:id="5425" w:name="_Toc8664"/>
      <w:bookmarkStart w:id="5426" w:name="_Toc17694"/>
      <w:bookmarkStart w:id="5427" w:name="_Toc23166"/>
      <w:bookmarkStart w:id="5428" w:name="_Toc25460"/>
      <w:r>
        <w:rPr>
          <w:rFonts w:hint="eastAsia" w:ascii="楷体" w:hAnsi="楷体" w:eastAsia="楷体" w:cs="楷体"/>
          <w:b/>
          <w:bCs/>
          <w:sz w:val="32"/>
          <w:szCs w:val="32"/>
        </w:rPr>
        <w:t>第一节 加强城市生命线系统建设</w:t>
      </w:r>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建设清洁低碳、安全高效的现代能源体系。</w:t>
      </w:r>
      <w:r>
        <w:rPr>
          <w:rFonts w:hint="eastAsia" w:ascii="仿宋_GB2312" w:hAnsi="仿宋_GB2312" w:eastAsia="仿宋_GB2312" w:cs="仿宋_GB2312"/>
          <w:sz w:val="32"/>
          <w:szCs w:val="32"/>
        </w:rPr>
        <w:t>推进天然气调峰电源电站建设，开展煤电清洁高效发展示范，因地制宜发展分布式能源网络，拓展外来送电通道。推动国家管网深圳液化天然气应急调峰站、深圳市天然气储备与调峰库二期扩建工程等气源项目和城市天然气输配系统建设，巩固提升“多气源、一张网、互连互通、功能互补”天然气供应保障格局。优化成品油和液化石油气仓储设施布局，构建以企业储备为主的成品油储备体系。强化500千伏“日字形”主网骨干网架，建设更加灵活的城市配电网，研究高压电线下地综合开发建设，打造世界一流智能电网。加强抗灾保障电源、重要用户自备电源建设。提升深圳天然气交易中心能级，研究建立</w:t>
      </w:r>
      <w:r>
        <w:rPr>
          <w:rFonts w:ascii="仿宋_GB2312" w:hAnsi="仿宋_GB2312" w:eastAsia="仿宋_GB2312" w:cs="仿宋_GB2312"/>
          <w:sz w:val="32"/>
          <w:szCs w:val="32"/>
        </w:rPr>
        <w:t>全国电力交易中心</w:t>
      </w:r>
      <w:r>
        <w:rPr>
          <w:rFonts w:hint="eastAsia" w:ascii="仿宋_GB2312" w:hAnsi="仿宋_GB2312" w:eastAsia="仿宋_GB2312" w:cs="仿宋_GB2312"/>
          <w:sz w:val="32"/>
          <w:szCs w:val="32"/>
        </w:rPr>
        <w:t>，探索建立深圳国际原油交易中心，建设能源产业创新中心、创新联合体等平台。大力推动管道天然气应用，新建住宅实现管道天然气全覆盖，老旧小区、城中村以及餐饮场所等用户实现管道天然气“应改尽改、能改全改”，到2025年，管道天然气普及率达90%以上。</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保障安全优质的城市供水。</w:t>
      </w:r>
      <w:r>
        <w:rPr>
          <w:rFonts w:hint="eastAsia" w:ascii="仿宋_GB2312" w:hAnsi="仿宋_GB2312" w:eastAsia="仿宋_GB2312" w:cs="仿宋_GB2312"/>
          <w:sz w:val="32"/>
          <w:szCs w:val="32"/>
        </w:rPr>
        <w:t>完善蓄、调、输、配供水系统，推进珠江三角洲水资源配置工程，加快罗田水库-铁岗水库、公明水库-清林径水库、西丽水库和铁岗水库-南山水厂等互连互通的深圳境内配套工程规划建设，构建城市双水源、水库双联通、水厂双保障、小区双供给的供水安全保障体系。开展新丰江引水工程等前期研究，启动建设深汕合作区供水工程，推动大湾区水资源共建共享。启动16座水厂新改扩建工程，实施19座水厂深度处理提标改造，构建与水厂相适应的给水管网系统，加快实施居民小区优质饮用水工程，打造全城直饮的城市供水体系。到</w:t>
      </w:r>
      <w:r>
        <w:rPr>
          <w:rFonts w:ascii="仿宋_GB2312" w:hAnsi="仿宋_GB2312" w:eastAsia="仿宋_GB2312" w:cs="仿宋_GB2312"/>
          <w:sz w:val="32"/>
          <w:szCs w:val="32"/>
        </w:rPr>
        <w:t>2025</w:t>
      </w:r>
      <w:r>
        <w:rPr>
          <w:rFonts w:hint="eastAsia" w:ascii="仿宋_GB2312" w:hAnsi="仿宋_GB2312" w:eastAsia="仿宋_GB2312" w:cs="仿宋_GB2312"/>
          <w:sz w:val="32"/>
          <w:szCs w:val="32"/>
        </w:rPr>
        <w:t>年，总供水规模达846万吨/日，应急水源保障能力提高到90天。</w:t>
      </w:r>
    </w:p>
    <w:p>
      <w:pPr>
        <w:spacing w:line="600" w:lineRule="exact"/>
        <w:ind w:firstLine="643" w:firstLineChars="200"/>
        <w:rPr>
          <w:rFonts w:ascii="仿宋_GB2312" w:hAnsi="仿宋_GB2312" w:eastAsia="仿宋_GB2312" w:cs="仿宋_GB2312"/>
          <w:sz w:val="32"/>
        </w:rPr>
      </w:pPr>
      <w:r>
        <w:rPr>
          <w:rFonts w:hint="eastAsia" w:ascii="仿宋_GB2312" w:hAnsi="仿宋_GB2312" w:eastAsia="仿宋_GB2312" w:cs="仿宋_GB2312"/>
          <w:b/>
          <w:bCs/>
          <w:sz w:val="32"/>
          <w:szCs w:val="32"/>
        </w:rPr>
        <w:t>加强战略物资和应急物资保障。</w:t>
      </w:r>
      <w:r>
        <w:rPr>
          <w:rFonts w:hint="eastAsia" w:ascii="仿宋_GB2312" w:hAnsi="仿宋_GB2312" w:eastAsia="仿宋_GB2312" w:cs="仿宋_GB2312"/>
          <w:sz w:val="32"/>
          <w:szCs w:val="32"/>
        </w:rPr>
        <w:t>优化部门协同，建立集中管理、统一调拨、平时服务、灾时应急、采储结合、节约高效的战略和应急物资保障体系。</w:t>
      </w:r>
      <w:r>
        <w:rPr>
          <w:rFonts w:hint="eastAsia" w:ascii="仿宋_GB2312" w:hAnsi="仿宋_GB2312" w:eastAsia="仿宋_GB2312" w:cs="仿宋_GB2312"/>
          <w:sz w:val="32"/>
        </w:rPr>
        <w:t>制定包含粮食、肉、菜、</w:t>
      </w:r>
      <w:r>
        <w:rPr>
          <w:rFonts w:ascii="仿宋_GB2312" w:hAnsi="仿宋_GB2312" w:eastAsia="仿宋_GB2312" w:cs="仿宋_GB2312"/>
          <w:sz w:val="32"/>
        </w:rPr>
        <w:t>食盐</w:t>
      </w:r>
      <w:r>
        <w:rPr>
          <w:rFonts w:hint="eastAsia" w:ascii="仿宋_GB2312" w:hAnsi="仿宋_GB2312" w:eastAsia="仿宋_GB2312" w:cs="仿宋_GB2312"/>
          <w:sz w:val="32"/>
        </w:rPr>
        <w:t>、燃气</w:t>
      </w:r>
      <w:r>
        <w:rPr>
          <w:rFonts w:ascii="仿宋_GB2312" w:hAnsi="仿宋_GB2312" w:eastAsia="仿宋_GB2312" w:cs="仿宋_GB2312"/>
          <w:sz w:val="32"/>
        </w:rPr>
        <w:t>、</w:t>
      </w:r>
      <w:r>
        <w:rPr>
          <w:rFonts w:hint="eastAsia" w:ascii="仿宋_GB2312" w:hAnsi="仿宋_GB2312" w:eastAsia="仿宋_GB2312" w:cs="仿宋_GB2312"/>
          <w:sz w:val="32"/>
        </w:rPr>
        <w:t>汽柴</w:t>
      </w:r>
      <w:r>
        <w:rPr>
          <w:rFonts w:ascii="仿宋_GB2312" w:hAnsi="仿宋_GB2312" w:eastAsia="仿宋_GB2312" w:cs="仿宋_GB2312"/>
          <w:sz w:val="32"/>
        </w:rPr>
        <w:t>油</w:t>
      </w:r>
      <w:r>
        <w:rPr>
          <w:rFonts w:hint="eastAsia" w:ascii="仿宋_GB2312" w:hAnsi="仿宋_GB2312" w:eastAsia="仿宋_GB2312" w:cs="仿宋_GB2312"/>
          <w:sz w:val="32"/>
        </w:rPr>
        <w:t>等在内的战略和应急物资储备目录，建设</w:t>
      </w:r>
      <w:r>
        <w:rPr>
          <w:rFonts w:hint="eastAsia" w:ascii="仿宋_GB2312" w:hAnsi="仿宋_GB2312" w:eastAsia="仿宋_GB2312" w:cs="仿宋_GB2312"/>
          <w:sz w:val="32"/>
          <w:szCs w:val="32"/>
        </w:rPr>
        <w:t>物资储备基础设施，建立物资保障数据库以及调拨系</w:t>
      </w:r>
      <w:r>
        <w:rPr>
          <w:rFonts w:hint="eastAsia" w:ascii="仿宋_GB2312" w:hAnsi="仿宋_GB2312" w:eastAsia="仿宋_GB2312" w:cs="仿宋_GB2312"/>
          <w:sz w:val="32"/>
        </w:rPr>
        <w:t>统。完善以政府为主导，以国企为中坚力量，以社会力量为辅的储备体系，构建实物储备和产能储备相结合的储备模式，鼓励以家庭为单元储备相关物资。创新产能储备方式，形成日常备份产能和平急转换产能联动的产能储备发展格局。</w:t>
      </w:r>
    </w:p>
    <w:p>
      <w:pPr>
        <w:pStyle w:val="8"/>
        <w:spacing w:line="600" w:lineRule="exact"/>
      </w:pPr>
    </w:p>
    <w:p>
      <w:pPr>
        <w:spacing w:line="600" w:lineRule="exact"/>
        <w:jc w:val="center"/>
        <w:outlineLvl w:val="2"/>
        <w:rPr>
          <w:rFonts w:ascii="楷体" w:hAnsi="楷体" w:eastAsia="楷体" w:cs="楷体"/>
          <w:b/>
          <w:bCs/>
          <w:sz w:val="32"/>
          <w:szCs w:val="32"/>
        </w:rPr>
      </w:pPr>
      <w:bookmarkStart w:id="5429" w:name="_Toc18134"/>
      <w:bookmarkStart w:id="5430" w:name="_Toc32630"/>
      <w:bookmarkStart w:id="5431" w:name="_Toc25550"/>
      <w:bookmarkStart w:id="5432" w:name="_Toc31472"/>
      <w:bookmarkStart w:id="5433" w:name="_Toc23254"/>
      <w:bookmarkStart w:id="5434" w:name="_Toc10178"/>
      <w:bookmarkStart w:id="5435" w:name="_Toc31532"/>
      <w:bookmarkStart w:id="5436" w:name="_Toc27505"/>
      <w:bookmarkStart w:id="5437" w:name="_Toc6067"/>
      <w:bookmarkStart w:id="5438" w:name="_Toc23900"/>
      <w:bookmarkStart w:id="5439" w:name="_Toc12790"/>
      <w:bookmarkStart w:id="5440" w:name="_Toc9820"/>
      <w:bookmarkStart w:id="5441" w:name="_Toc367"/>
      <w:bookmarkStart w:id="5442" w:name="_Toc10877"/>
      <w:bookmarkStart w:id="5443" w:name="_Toc3820"/>
      <w:bookmarkStart w:id="5444" w:name="_Toc9505"/>
      <w:bookmarkStart w:id="5445" w:name="_Toc9831"/>
      <w:bookmarkStart w:id="5446" w:name="_Toc19296"/>
      <w:bookmarkStart w:id="5447" w:name="_Toc534"/>
      <w:bookmarkStart w:id="5448" w:name="_Toc32418"/>
      <w:bookmarkStart w:id="5449" w:name="_Toc15529"/>
      <w:bookmarkStart w:id="5450" w:name="_Toc3223"/>
      <w:bookmarkStart w:id="5451" w:name="_Toc1780"/>
      <w:bookmarkStart w:id="5452" w:name="_Toc25505"/>
      <w:bookmarkStart w:id="5453" w:name="_Toc18489"/>
      <w:bookmarkStart w:id="5454" w:name="_Toc16484"/>
      <w:bookmarkStart w:id="5455" w:name="_Toc20984"/>
      <w:bookmarkStart w:id="5456" w:name="_Toc28062"/>
      <w:bookmarkStart w:id="5457" w:name="_Toc6189"/>
      <w:bookmarkStart w:id="5458" w:name="_Toc2276"/>
      <w:bookmarkStart w:id="5459" w:name="_Toc11503"/>
      <w:bookmarkStart w:id="5460" w:name="_Toc18928"/>
      <w:bookmarkStart w:id="5461" w:name="_Toc4844"/>
      <w:bookmarkStart w:id="5462" w:name="_Toc19208"/>
      <w:bookmarkStart w:id="5463" w:name="_Toc897"/>
      <w:bookmarkStart w:id="5464" w:name="_Toc31627"/>
      <w:bookmarkStart w:id="5465" w:name="_Toc2804"/>
      <w:bookmarkStart w:id="5466" w:name="_Toc22842"/>
      <w:bookmarkStart w:id="5467" w:name="_Toc31614"/>
      <w:bookmarkStart w:id="5468" w:name="_Toc6819"/>
      <w:bookmarkStart w:id="5469" w:name="_Toc13994"/>
      <w:bookmarkStart w:id="5470" w:name="_Toc18103"/>
      <w:bookmarkStart w:id="5471" w:name="_Toc13062"/>
      <w:bookmarkStart w:id="5472" w:name="_Toc11286"/>
      <w:bookmarkStart w:id="5473" w:name="_Toc32221"/>
      <w:bookmarkStart w:id="5474" w:name="_Toc9691"/>
      <w:bookmarkStart w:id="5475" w:name="_Toc13845"/>
      <w:bookmarkStart w:id="5476" w:name="_Toc30609"/>
      <w:bookmarkStart w:id="5477" w:name="_Toc21057"/>
      <w:bookmarkStart w:id="5478" w:name="_Toc1161"/>
      <w:bookmarkStart w:id="5479" w:name="_Toc19062"/>
      <w:bookmarkStart w:id="5480" w:name="_Toc15458"/>
      <w:bookmarkStart w:id="5481" w:name="_Toc2918"/>
      <w:r>
        <w:rPr>
          <w:rFonts w:hint="eastAsia" w:ascii="楷体" w:hAnsi="楷体" w:eastAsia="楷体" w:cs="楷体"/>
          <w:b/>
          <w:bCs/>
          <w:sz w:val="32"/>
          <w:szCs w:val="32"/>
        </w:rPr>
        <w:t>第二节 夯实城市安全基础</w:t>
      </w:r>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p>
    <w:p>
      <w:pPr>
        <w:adjustRightInd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完善落实安全生产责任制。</w:t>
      </w:r>
      <w:r>
        <w:rPr>
          <w:rFonts w:hint="eastAsia" w:ascii="仿宋_GB2312" w:hAnsi="仿宋_GB2312" w:eastAsia="仿宋_GB2312" w:cs="仿宋_GB2312"/>
          <w:sz w:val="32"/>
          <w:szCs w:val="32"/>
        </w:rPr>
        <w:t>完善党政同责、一岗双责、齐抓共管、失职追责的安全生产责任体系，实行“尽职照单免责、失职照单追责”制度。创新开展城市安全发展和自然灾害防治立法，构建法治化的责任链条。</w:t>
      </w:r>
      <w:r>
        <w:rPr>
          <w:rFonts w:hint="eastAsia" w:ascii="仿宋_GB2312" w:hAnsi="仿宋_GB2312" w:eastAsia="仿宋_GB2312" w:cs="仿宋_GB2312"/>
          <w:bCs/>
          <w:sz w:val="32"/>
          <w:szCs w:val="32"/>
        </w:rPr>
        <w:t>建立适应城市安全监管职责动态调整机制，消除监管盲区漏洞。</w:t>
      </w:r>
      <w:r>
        <w:rPr>
          <w:rFonts w:hint="eastAsia" w:ascii="仿宋_GB2312" w:hAnsi="仿宋_GB2312" w:eastAsia="仿宋_GB2312" w:cs="仿宋_GB2312"/>
          <w:sz w:val="32"/>
          <w:szCs w:val="32"/>
        </w:rPr>
        <w:t>优化安全生产监督检查和分类分级监管模式，加强安全生产监管执法，实施差异化监管制度。严格落实机关、企事业单位、社会组织等主体责任，推动企业建立自我约束、持续改进的内生机制。</w:t>
      </w:r>
    </w:p>
    <w:p>
      <w:pPr>
        <w:overflowPunct w:val="0"/>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强化城市全生命周期安全管理。</w:t>
      </w:r>
      <w:r>
        <w:rPr>
          <w:rFonts w:hint="eastAsia" w:ascii="仿宋_GB2312" w:hAnsi="仿宋_GB2312" w:eastAsia="仿宋_GB2312" w:cs="仿宋_GB2312"/>
          <w:sz w:val="32"/>
          <w:szCs w:val="32"/>
        </w:rPr>
        <w:t>实施安全发展五年行动，加强城市基础设施运营、维护等全过程综合风险管控。完善城市安全风险分级管控和隐患排查治理机制，强化安全监测预警系统建设，逐步实现对重点企事业单位实时监测、在线监控、可视化监管。推动企业开展安全技术和工艺设备升级迭代。深化安全生产三年专项整治行动，推进重点行业领域、高风险区域精准治理工程，加强交通运输、危险化学品、消防安全、建设施工、既有建筑、工矿商贸、特种设备、油气管道、城镇燃气、综合管廊、地面坍塌等领域安全管理。</w:t>
      </w:r>
    </w:p>
    <w:p>
      <w:pPr>
        <w:overflowPunct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提升城市灾害防御能力。</w:t>
      </w:r>
      <w:r>
        <w:rPr>
          <w:rFonts w:hint="eastAsia" w:ascii="仿宋_GB2312" w:hAnsi="仿宋_GB2312" w:eastAsia="仿宋_GB2312" w:cs="仿宋_GB2312"/>
          <w:bCs/>
          <w:sz w:val="32"/>
          <w:szCs w:val="32"/>
        </w:rPr>
        <w:t>开展城市灾害防御和灾害快速恢复能力评估，建立城市安全韧性评价体系。</w:t>
      </w:r>
      <w:r>
        <w:rPr>
          <w:rFonts w:hint="eastAsia" w:ascii="仿宋_GB2312" w:hAnsi="仿宋_GB2312" w:eastAsia="仿宋_GB2312" w:cs="仿宋_GB2312"/>
          <w:sz w:val="32"/>
          <w:szCs w:val="32"/>
        </w:rPr>
        <w:t>全面开展自然灾害综合风险普查，实施自然灾害防治能力九项重点工程，强化地震、地质、海洋、森林火灾等重点灾害综合治理。优化城市各类防灾减灾工程设施布局，合理确定防灾分区，健全应急避难场所运行管理机制。构建布局合理，功能完备的人员防护体系，建立安全可靠、体系完备、平战结合的人防工程系统。加快推动海绵城市建设，</w:t>
      </w:r>
      <w:r>
        <w:rPr>
          <w:rFonts w:hint="eastAsia" w:ascii="仿宋_GB2312" w:hAnsi="仿宋_GB2312" w:eastAsia="仿宋_GB2312" w:cs="仿宋_GB2312"/>
          <w:color w:val="000000"/>
          <w:sz w:val="32"/>
          <w:szCs w:val="32"/>
        </w:rPr>
        <w:t>重点开展广场、滨水区域等大型公共空间的海绵化改造。构建现代雨水管理体系，</w:t>
      </w:r>
      <w:r>
        <w:rPr>
          <w:rFonts w:hint="eastAsia" w:ascii="仿宋_GB2312" w:hAnsi="仿宋_GB2312" w:eastAsia="仿宋_GB2312" w:cs="仿宋_GB2312"/>
          <w:sz w:val="32"/>
          <w:szCs w:val="32"/>
        </w:rPr>
        <w:t>强化内涝治理，加快病险水库除险加固，高标准加快推进东部海堤重建工程（三期）。到2025年，</w:t>
      </w:r>
      <w:r>
        <w:rPr>
          <w:rFonts w:hint="eastAsia" w:ascii="仿宋_GB2312" w:hAnsi="仿宋_GB2312" w:eastAsia="仿宋_GB2312" w:cs="仿宋_GB2312"/>
          <w:color w:val="000000" w:themeColor="text1"/>
          <w:sz w:val="32"/>
          <w:szCs w:val="32"/>
          <w14:textFill>
            <w14:solidFill>
              <w14:schemeClr w14:val="tx1"/>
            </w14:solidFill>
          </w14:textFill>
        </w:rPr>
        <w:t>防洪（潮）能力达到200年一遇，</w:t>
      </w:r>
      <w:r>
        <w:rPr>
          <w:rFonts w:hint="eastAsia" w:ascii="仿宋_GB2312" w:hAnsi="仿宋_GB2312" w:eastAsia="仿宋_GB2312" w:cs="仿宋_GB2312"/>
          <w:sz w:val="32"/>
          <w:szCs w:val="32"/>
        </w:rPr>
        <w:t>内涝防治能力力争达到50年一遇。</w:t>
      </w:r>
    </w:p>
    <w:p>
      <w:pPr>
        <w:overflowPunct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广泛开展安全文化建设。</w:t>
      </w:r>
      <w:r>
        <w:rPr>
          <w:rFonts w:hint="eastAsia" w:ascii="仿宋_GB2312" w:hAnsi="仿宋_GB2312" w:eastAsia="仿宋_GB2312" w:cs="仿宋_GB2312"/>
          <w:bCs/>
          <w:sz w:val="32"/>
          <w:szCs w:val="32"/>
        </w:rPr>
        <w:t>完善线上、线下一体化宣传教育平台，</w:t>
      </w:r>
      <w:r>
        <w:rPr>
          <w:rFonts w:hint="eastAsia" w:ascii="仿宋_GB2312" w:hAnsi="仿宋_GB2312" w:eastAsia="仿宋_GB2312" w:cs="仿宋_GB2312"/>
          <w:sz w:val="32"/>
          <w:szCs w:val="32"/>
        </w:rPr>
        <w:t>构建全方位、分众化、精准化的安全教育培训体系。实施全民公益安全教育计划，组织开展安全科普周、安全大讲堂等安全文化活动。加强备灾意识培训，增强市民、企业在应急管理和减灾中的作用。制定市级综合减灾社区建设标准，提升基层社区减灾能力。</w:t>
      </w:r>
    </w:p>
    <w:p>
      <w:pPr>
        <w:pStyle w:val="8"/>
        <w:spacing w:line="600" w:lineRule="exact"/>
        <w:rPr>
          <w:rFonts w:ascii="仿宋_GB2312" w:hAnsi="仿宋_GB2312" w:eastAsia="仿宋_GB2312" w:cs="仿宋_GB2312"/>
        </w:rPr>
      </w:pPr>
    </w:p>
    <w:p>
      <w:pPr>
        <w:spacing w:line="600" w:lineRule="exact"/>
        <w:jc w:val="center"/>
        <w:outlineLvl w:val="2"/>
        <w:rPr>
          <w:rFonts w:ascii="楷体" w:hAnsi="楷体" w:eastAsia="楷体" w:cs="楷体"/>
          <w:b/>
          <w:bCs/>
          <w:sz w:val="32"/>
          <w:szCs w:val="32"/>
        </w:rPr>
      </w:pPr>
      <w:bookmarkStart w:id="5482" w:name="_Toc61"/>
      <w:bookmarkStart w:id="5483" w:name="_Toc6673"/>
      <w:bookmarkStart w:id="5484" w:name="_Toc31816"/>
      <w:bookmarkStart w:id="5485" w:name="_Toc18906"/>
      <w:bookmarkStart w:id="5486" w:name="_Toc25277"/>
      <w:bookmarkStart w:id="5487" w:name="_Toc7731"/>
      <w:bookmarkStart w:id="5488" w:name="_Toc24769"/>
      <w:bookmarkStart w:id="5489" w:name="_Toc9054"/>
      <w:bookmarkStart w:id="5490" w:name="_Toc30432"/>
      <w:bookmarkStart w:id="5491" w:name="_Toc15973"/>
      <w:bookmarkStart w:id="5492" w:name="_Toc24540"/>
      <w:bookmarkStart w:id="5493" w:name="_Toc17063"/>
      <w:bookmarkStart w:id="5494" w:name="_Toc28585"/>
      <w:bookmarkStart w:id="5495" w:name="_Toc1560"/>
      <w:bookmarkStart w:id="5496" w:name="_Toc12192"/>
      <w:bookmarkStart w:id="5497" w:name="_Toc25628"/>
      <w:bookmarkStart w:id="5498" w:name="_Toc22613"/>
      <w:bookmarkStart w:id="5499" w:name="_Toc14797"/>
      <w:bookmarkStart w:id="5500" w:name="_Toc22541"/>
      <w:bookmarkStart w:id="5501" w:name="_Toc7706"/>
      <w:bookmarkStart w:id="5502" w:name="_Toc9170"/>
      <w:bookmarkStart w:id="5503" w:name="_Toc19451"/>
      <w:bookmarkStart w:id="5504" w:name="_Toc23040"/>
      <w:bookmarkStart w:id="5505" w:name="_Toc21622"/>
      <w:bookmarkStart w:id="5506" w:name="_Toc30596"/>
      <w:bookmarkStart w:id="5507" w:name="_Toc3706"/>
      <w:bookmarkStart w:id="5508" w:name="_Toc2959"/>
      <w:bookmarkStart w:id="5509" w:name="_Toc26747"/>
      <w:bookmarkStart w:id="5510" w:name="_Toc9550"/>
      <w:bookmarkStart w:id="5511" w:name="_Toc2067"/>
      <w:bookmarkStart w:id="5512" w:name="_Toc31724"/>
      <w:bookmarkStart w:id="5513" w:name="_Toc30590"/>
      <w:bookmarkStart w:id="5514" w:name="_Toc24406"/>
      <w:bookmarkStart w:id="5515" w:name="_Toc1590"/>
      <w:bookmarkStart w:id="5516" w:name="_Toc215"/>
      <w:bookmarkStart w:id="5517" w:name="_Toc31734"/>
      <w:bookmarkStart w:id="5518" w:name="_Toc1098"/>
      <w:bookmarkStart w:id="5519" w:name="_Toc6467"/>
      <w:bookmarkStart w:id="5520" w:name="_Toc20389"/>
      <w:bookmarkStart w:id="5521" w:name="_Toc7591"/>
      <w:bookmarkStart w:id="5522" w:name="_Toc21748"/>
      <w:bookmarkStart w:id="5523" w:name="_Toc5301"/>
      <w:bookmarkStart w:id="5524" w:name="_Toc10819"/>
      <w:bookmarkStart w:id="5525" w:name="_Toc10154"/>
      <w:bookmarkStart w:id="5526" w:name="_Toc12576"/>
      <w:bookmarkStart w:id="5527" w:name="_Toc27854"/>
      <w:bookmarkStart w:id="5528" w:name="_Toc25702"/>
      <w:bookmarkStart w:id="5529" w:name="_Toc100"/>
      <w:bookmarkStart w:id="5530" w:name="_Toc22845"/>
      <w:bookmarkStart w:id="5531" w:name="_Toc21928"/>
      <w:bookmarkStart w:id="5532" w:name="_Toc6807"/>
      <w:bookmarkStart w:id="5533" w:name="_Toc24280"/>
      <w:bookmarkStart w:id="5534" w:name="_Toc9189"/>
      <w:r>
        <w:rPr>
          <w:rFonts w:hint="eastAsia" w:ascii="楷体" w:hAnsi="楷体" w:eastAsia="楷体" w:cs="楷体"/>
          <w:b/>
          <w:bCs/>
          <w:sz w:val="32"/>
          <w:szCs w:val="32"/>
        </w:rPr>
        <w:t>第三节 提升应急救援能力</w:t>
      </w:r>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健全应急救援管理体制。</w:t>
      </w:r>
      <w:r>
        <w:rPr>
          <w:rFonts w:hint="eastAsia" w:ascii="仿宋_GB2312" w:hAnsi="仿宋_GB2312" w:eastAsia="仿宋_GB2312" w:cs="仿宋_GB2312"/>
          <w:sz w:val="32"/>
          <w:szCs w:val="32"/>
        </w:rPr>
        <w:t>发挥应急管理部门综合优势和各相关部门专业优势，有效衔接“防”与“救”责任链条。健全应急预案体系，推动应急预案编制数字化、应用智能化，实现指挥决策科学化。完善政府、社会、企业应急协同机制，强化军地应急联动机制，实现信息互通、资源共享、高效联动。加强国防动员和后备力量建设，充分发挥在反恐维稳、抗洪救灾和防疫抗疫中的中坚骨干作用。加强与粤港澳大湾区相关城市的应急协作，建立紧密的区域应急合作机制。</w:t>
      </w:r>
    </w:p>
    <w:p>
      <w:pPr>
        <w:pStyle w:val="8"/>
        <w:spacing w:line="600" w:lineRule="exact"/>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实施“科技强安”战略。</w:t>
      </w:r>
      <w:r>
        <w:rPr>
          <w:rFonts w:hint="eastAsia" w:ascii="仿宋_GB2312" w:hAnsi="仿宋" w:eastAsia="仿宋_GB2312" w:cs="仿宋"/>
          <w:sz w:val="32"/>
          <w:szCs w:val="32"/>
        </w:rPr>
        <w:t>完善地震、森林火灾、海洋等灾害以及水库大坝、交通枢纽、桥梁隧道、轨道交通等重大基础设施监测预警网络，打造智能化精准化城市灾害监测预警体系。</w:t>
      </w:r>
      <w:r>
        <w:rPr>
          <w:rFonts w:hint="eastAsia" w:ascii="仿宋_GB2312" w:eastAsia="仿宋_GB2312"/>
          <w:sz w:val="32"/>
          <w:szCs w:val="32"/>
        </w:rPr>
        <w:t>加强</w:t>
      </w:r>
      <w:r>
        <w:rPr>
          <w:rFonts w:ascii="仿宋_GB2312" w:eastAsia="仿宋_GB2312"/>
          <w:sz w:val="32"/>
          <w:szCs w:val="32"/>
        </w:rPr>
        <w:t>应急通信基础设施建设</w:t>
      </w:r>
      <w:r>
        <w:rPr>
          <w:rFonts w:hint="eastAsia" w:ascii="仿宋_GB2312" w:eastAsia="仿宋_GB2312"/>
          <w:sz w:val="32"/>
          <w:szCs w:val="32"/>
        </w:rPr>
        <w:t>，</w:t>
      </w:r>
      <w:r>
        <w:rPr>
          <w:rFonts w:hint="eastAsia" w:ascii="仿宋_GB2312" w:hAnsi="仿宋_GB2312" w:eastAsia="仿宋_GB2312" w:cs="仿宋_GB2312"/>
          <w:sz w:val="32"/>
          <w:szCs w:val="32"/>
        </w:rPr>
        <w:t>打造安全应急科技信息化联合创新平台，</w:t>
      </w:r>
      <w:r>
        <w:rPr>
          <w:rFonts w:hint="eastAsia" w:ascii="仿宋_GB2312" w:hAnsi="仿宋" w:eastAsia="仿宋_GB2312" w:cs="仿宋"/>
          <w:sz w:val="32"/>
          <w:szCs w:val="32"/>
        </w:rPr>
        <w:t>全面提升对各类风险隐患的自动识别、敏锐感知和预警预防能力。</w:t>
      </w:r>
      <w:r>
        <w:rPr>
          <w:rFonts w:hint="eastAsia" w:ascii="仿宋_GB2312" w:hAnsi="仿宋_GB2312" w:eastAsia="仿宋_GB2312" w:cs="仿宋_GB2312"/>
          <w:sz w:val="32"/>
          <w:szCs w:val="32"/>
        </w:rPr>
        <w:t>加强创新型应急技术装备推广应用，大力发展安全应急产业</w:t>
      </w:r>
      <w:r>
        <w:rPr>
          <w:rFonts w:hint="eastAsia" w:ascii="仿宋_GB2312" w:eastAsia="仿宋_GB2312"/>
          <w:sz w:val="32"/>
          <w:szCs w:val="32"/>
        </w:rPr>
        <w:t>。</w:t>
      </w:r>
    </w:p>
    <w:p>
      <w:pPr>
        <w:spacing w:line="600" w:lineRule="exact"/>
        <w:ind w:firstLine="643" w:firstLineChars="200"/>
        <w:rPr>
          <w:rFonts w:ascii="仿宋_GB2312" w:eastAsia="仿宋_GB2312"/>
          <w:sz w:val="32"/>
          <w:szCs w:val="32"/>
        </w:rPr>
      </w:pPr>
      <w:r>
        <w:rPr>
          <w:rFonts w:hint="eastAsia" w:ascii="仿宋_GB2312" w:hAnsi="仿宋_GB2312" w:eastAsia="仿宋_GB2312" w:cs="仿宋_GB2312"/>
          <w:b/>
          <w:bCs/>
          <w:sz w:val="32"/>
          <w:szCs w:val="32"/>
        </w:rPr>
        <w:t>打造专业化的应急救援队伍。</w:t>
      </w:r>
      <w:r>
        <w:rPr>
          <w:rFonts w:hint="eastAsia" w:ascii="仿宋_GB2312" w:eastAsia="仿宋_GB2312"/>
          <w:sz w:val="32"/>
          <w:szCs w:val="32"/>
        </w:rPr>
        <w:t>加强综合性应急救援队伍、专业应急救援队伍、专家队伍、社会应急力量等应急救援队伍建设，建立共训共练、救援合作机制。全面落实“四个一”应急响应处置机制，提升重特大、综合性突发事件响应和处置能力。</w:t>
      </w:r>
      <w:r>
        <w:rPr>
          <w:rFonts w:hint="eastAsia" w:ascii="仿宋_GB2312" w:hAnsi="仿宋_GB2312" w:eastAsia="仿宋_GB2312" w:cs="仿宋_GB2312"/>
          <w:sz w:val="32"/>
          <w:szCs w:val="32"/>
        </w:rPr>
        <w:t>推进城市公共防灾基础设施建设</w:t>
      </w:r>
      <w:r>
        <w:rPr>
          <w:rFonts w:hint="eastAsia" w:ascii="仿宋_GB2312" w:eastAsia="仿宋_GB2312"/>
          <w:sz w:val="32"/>
          <w:szCs w:val="32"/>
        </w:rPr>
        <w:t>，提高消防救援、危险化学品、卫生防疫、医疗救护等专业应急救援队伍的综合保障和实战能力。制定推进社会应急力量健康发展的政策，提升高层建筑、地下工程、城市综合体、核生化、山岳、水域和特种设备等应急救援能力。加强海上搜寻与救助队伍建设，健全海上搜救应急反应体系。</w:t>
      </w:r>
    </w:p>
    <w:p>
      <w:pPr>
        <w:pStyle w:val="8"/>
        <w:spacing w:line="600" w:lineRule="exact"/>
      </w:pPr>
    </w:p>
    <w:p>
      <w:pPr>
        <w:spacing w:line="600" w:lineRule="exact"/>
        <w:jc w:val="center"/>
        <w:outlineLvl w:val="2"/>
      </w:pPr>
      <w:bookmarkStart w:id="5535" w:name="_Toc14565"/>
      <w:bookmarkStart w:id="5536" w:name="_Toc31052"/>
      <w:bookmarkStart w:id="5537" w:name="_Toc16793"/>
      <w:bookmarkStart w:id="5538" w:name="_Toc18308"/>
      <w:bookmarkStart w:id="5539" w:name="_Toc23297"/>
      <w:bookmarkStart w:id="5540" w:name="_Toc6573"/>
      <w:bookmarkStart w:id="5541" w:name="_Toc956"/>
      <w:bookmarkStart w:id="5542" w:name="_Toc28424"/>
      <w:bookmarkStart w:id="5543" w:name="_Toc14872"/>
      <w:bookmarkStart w:id="5544" w:name="_Toc25241"/>
      <w:bookmarkStart w:id="5545" w:name="_Toc4862"/>
      <w:bookmarkStart w:id="5546" w:name="_Toc30981"/>
      <w:bookmarkStart w:id="5547" w:name="_Toc21638"/>
      <w:bookmarkStart w:id="5548" w:name="_Toc14808"/>
      <w:bookmarkStart w:id="5549" w:name="_Toc28213"/>
      <w:bookmarkStart w:id="5550" w:name="_Toc11500"/>
      <w:bookmarkStart w:id="5551" w:name="_Toc14418"/>
      <w:bookmarkStart w:id="5552" w:name="_Toc26797"/>
      <w:bookmarkStart w:id="5553" w:name="_Toc1616"/>
      <w:bookmarkStart w:id="5554" w:name="_Toc14592"/>
      <w:bookmarkStart w:id="5555" w:name="_Toc7383"/>
      <w:bookmarkStart w:id="5556" w:name="_Toc20928"/>
      <w:bookmarkStart w:id="5557" w:name="_Toc20869"/>
      <w:bookmarkStart w:id="5558" w:name="_Toc25484"/>
      <w:bookmarkStart w:id="5559" w:name="_Toc26331"/>
      <w:bookmarkStart w:id="5560" w:name="_Toc20968"/>
      <w:bookmarkStart w:id="5561" w:name="_Toc19214"/>
      <w:bookmarkStart w:id="5562" w:name="_Toc7406"/>
      <w:bookmarkStart w:id="5563" w:name="_Toc13955"/>
      <w:bookmarkStart w:id="5564" w:name="_Toc31126"/>
      <w:bookmarkStart w:id="5565" w:name="_Toc24181"/>
      <w:bookmarkStart w:id="5566" w:name="_Toc17265"/>
      <w:bookmarkStart w:id="5567" w:name="_Toc24000"/>
      <w:bookmarkStart w:id="5568" w:name="_Toc3295"/>
      <w:bookmarkStart w:id="5569" w:name="_Toc28880"/>
      <w:bookmarkStart w:id="5570" w:name="_Toc19176"/>
      <w:bookmarkStart w:id="5571" w:name="_Toc30783"/>
      <w:bookmarkStart w:id="5572" w:name="_Toc27985"/>
      <w:bookmarkStart w:id="5573" w:name="_Toc27463"/>
      <w:bookmarkStart w:id="5574" w:name="_Toc20786"/>
      <w:bookmarkStart w:id="5575" w:name="_Toc9790"/>
      <w:bookmarkStart w:id="5576" w:name="_Toc16224"/>
      <w:bookmarkStart w:id="5577" w:name="_Toc10206"/>
      <w:bookmarkStart w:id="5578" w:name="_Toc22778"/>
      <w:bookmarkStart w:id="5579" w:name="_Toc32509"/>
      <w:bookmarkStart w:id="5580" w:name="_Toc19015"/>
      <w:bookmarkStart w:id="5581" w:name="_Toc8067"/>
      <w:bookmarkStart w:id="5582" w:name="_Toc26849"/>
      <w:bookmarkStart w:id="5583" w:name="_Toc5499"/>
      <w:bookmarkStart w:id="5584" w:name="_Toc7420"/>
      <w:bookmarkStart w:id="5585" w:name="_Toc31484"/>
      <w:bookmarkStart w:id="5586" w:name="_Toc13574"/>
      <w:bookmarkStart w:id="5587" w:name="_Toc26563"/>
      <w:r>
        <w:rPr>
          <w:rFonts w:hint="eastAsia" w:ascii="楷体" w:hAnsi="楷体" w:eastAsia="楷体" w:cs="楷体"/>
          <w:b/>
          <w:bCs/>
          <w:sz w:val="32"/>
          <w:szCs w:val="32"/>
        </w:rPr>
        <w:t>第四节 全力保障食品药品生物安全</w:t>
      </w:r>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p>
    <w:p>
      <w:pPr>
        <w:spacing w:line="600" w:lineRule="exact"/>
        <w:ind w:firstLine="643" w:firstLineChars="200"/>
        <w:rPr>
          <w:rFonts w:ascii="仿宋_GB2312" w:eastAsia="仿宋_GB2312"/>
          <w:sz w:val="32"/>
          <w:szCs w:val="32"/>
        </w:rPr>
      </w:pPr>
      <w:r>
        <w:rPr>
          <w:rFonts w:hint="eastAsia" w:ascii="仿宋_GB2312" w:hAnsi="仿宋_GB2312" w:eastAsia="仿宋_GB2312" w:cs="仿宋_GB2312"/>
          <w:b/>
          <w:bCs/>
          <w:sz w:val="32"/>
          <w:szCs w:val="32"/>
        </w:rPr>
        <w:t>严防严管严控食品安全。</w:t>
      </w:r>
      <w:r>
        <w:rPr>
          <w:rFonts w:hint="eastAsia" w:ascii="仿宋_GB2312" w:hAnsi="仿宋_GB2312" w:eastAsia="仿宋_GB2312" w:cs="仿宋_GB2312"/>
          <w:sz w:val="32"/>
          <w:szCs w:val="32"/>
        </w:rPr>
        <w:t>实施食品安全战略，</w:t>
      </w:r>
      <w:r>
        <w:rPr>
          <w:rFonts w:hint="eastAsia" w:ascii="仿宋_GB2312" w:eastAsia="仿宋_GB2312"/>
          <w:sz w:val="32"/>
          <w:szCs w:val="32"/>
        </w:rPr>
        <w:t>健全</w:t>
      </w:r>
      <w:r>
        <w:rPr>
          <w:rFonts w:ascii="仿宋_GB2312" w:eastAsia="仿宋_GB2312"/>
          <w:sz w:val="32"/>
          <w:szCs w:val="32"/>
        </w:rPr>
        <w:t>绿色健康的供深食品标准</w:t>
      </w:r>
      <w:r>
        <w:rPr>
          <w:rFonts w:hint="eastAsia" w:ascii="仿宋_GB2312" w:eastAsia="仿宋_GB2312"/>
          <w:sz w:val="32"/>
          <w:szCs w:val="32"/>
        </w:rPr>
        <w:t>体系</w:t>
      </w:r>
      <w:r>
        <w:rPr>
          <w:rFonts w:hint="eastAsia" w:ascii="仿宋_GB2312" w:hAnsi="仿宋_GB2312" w:eastAsia="仿宋_GB2312" w:cs="仿宋_GB2312"/>
          <w:sz w:val="32"/>
          <w:szCs w:val="32"/>
        </w:rPr>
        <w:t>，推进“圳品工程”建设</w:t>
      </w:r>
      <w:r>
        <w:rPr>
          <w:rFonts w:hint="eastAsia" w:ascii="仿宋_GB2312" w:eastAsia="仿宋_GB2312"/>
          <w:sz w:val="32"/>
          <w:szCs w:val="32"/>
        </w:rPr>
        <w:t>，构建从“农田到餐桌”的全链条监管体系。加强供深农产品基地外延监管，推行供深生猪“点对地”调运以及“活禽市外集中屠宰、全程冷链配送”等政策。建立以问题为导向的食品抽检制度，实行以风险评估为基础的进口食品分类分级口岸检验监管制度。实施餐饮服务食品安全量化分级管理，加强进口冻品、跨境电商零售食品、现制现售食品、网络订餐、生鲜配送、直播营销、微商经营等重点领域食品监管。加快农业科技创新发展，大力发展新兴食品产业，建设深圳国际食品谷</w:t>
      </w:r>
      <w:r>
        <w:rPr>
          <w:rFonts w:hint="eastAsia" w:ascii="Times New Roman" w:hAnsi="Times New Roman" w:eastAsia="仿宋_GB2312" w:cs="宋体"/>
          <w:sz w:val="32"/>
          <w:szCs w:val="32"/>
        </w:rPr>
        <w:t>。</w:t>
      </w:r>
      <w:r>
        <w:rPr>
          <w:rFonts w:hint="eastAsia" w:ascii="仿宋_GB2312" w:eastAsia="仿宋_GB2312"/>
          <w:sz w:val="32"/>
          <w:szCs w:val="32"/>
        </w:rPr>
        <w:t>到2025年，食品及食用农产品抽检覆盖率达到10批次/千人，食用农产品评价性抽检合格率达98%</w:t>
      </w:r>
      <w:r>
        <w:rPr>
          <w:rFonts w:ascii="仿宋_GB2312" w:eastAsia="仿宋_GB2312"/>
          <w:sz w:val="32"/>
          <w:szCs w:val="32"/>
        </w:rPr>
        <w:t>。</w:t>
      </w:r>
    </w:p>
    <w:p>
      <w:pPr>
        <w:spacing w:line="600" w:lineRule="exact"/>
        <w:ind w:firstLine="643" w:firstLineChars="200"/>
        <w:rPr>
          <w:rFonts w:ascii="仿宋_GB2312" w:eastAsia="仿宋_GB2312"/>
          <w:sz w:val="32"/>
          <w:szCs w:val="32"/>
        </w:rPr>
      </w:pPr>
      <w:r>
        <w:rPr>
          <w:rFonts w:hint="eastAsia" w:ascii="仿宋_GB2312" w:hAnsi="仿宋_GB2312" w:eastAsia="仿宋_GB2312" w:cs="仿宋_GB2312"/>
          <w:b/>
          <w:bCs/>
          <w:sz w:val="32"/>
          <w:szCs w:val="32"/>
        </w:rPr>
        <w:t>加强药品、医疗器械安全监管。</w:t>
      </w:r>
      <w:r>
        <w:rPr>
          <w:rFonts w:hint="eastAsia" w:ascii="仿宋_GB2312" w:eastAsia="仿宋_GB2312"/>
          <w:sz w:val="32"/>
          <w:szCs w:val="32"/>
        </w:rPr>
        <w:t>建立药品全生命周期监管机制，</w:t>
      </w:r>
      <w:r>
        <w:rPr>
          <w:rFonts w:ascii="仿宋_GB2312" w:eastAsia="仿宋_GB2312"/>
          <w:sz w:val="32"/>
          <w:szCs w:val="32"/>
        </w:rPr>
        <w:t>加强血液制品、</w:t>
      </w:r>
      <w:r>
        <w:rPr>
          <w:rFonts w:hint="eastAsia" w:ascii="仿宋_GB2312" w:eastAsia="仿宋_GB2312"/>
          <w:sz w:val="32"/>
          <w:szCs w:val="32"/>
        </w:rPr>
        <w:t>注射剂、</w:t>
      </w:r>
      <w:r>
        <w:rPr>
          <w:rFonts w:ascii="仿宋_GB2312" w:eastAsia="仿宋_GB2312"/>
          <w:sz w:val="32"/>
          <w:szCs w:val="32"/>
        </w:rPr>
        <w:t>麻醉</w:t>
      </w:r>
      <w:r>
        <w:rPr>
          <w:rFonts w:hint="eastAsia" w:ascii="仿宋_GB2312" w:eastAsia="仿宋_GB2312"/>
          <w:sz w:val="32"/>
          <w:szCs w:val="32"/>
        </w:rPr>
        <w:t>药品</w:t>
      </w:r>
      <w:r>
        <w:rPr>
          <w:rFonts w:ascii="仿宋_GB2312" w:eastAsia="仿宋_GB2312"/>
          <w:sz w:val="32"/>
          <w:szCs w:val="32"/>
        </w:rPr>
        <w:t>、精神药品、医疗用毒性</w:t>
      </w:r>
      <w:r>
        <w:rPr>
          <w:rFonts w:hint="eastAsia" w:ascii="仿宋_GB2312" w:eastAsia="仿宋_GB2312"/>
          <w:sz w:val="32"/>
          <w:szCs w:val="32"/>
        </w:rPr>
        <w:t>药品</w:t>
      </w:r>
      <w:r>
        <w:rPr>
          <w:rFonts w:ascii="仿宋_GB2312" w:eastAsia="仿宋_GB2312"/>
          <w:sz w:val="32"/>
          <w:szCs w:val="32"/>
        </w:rPr>
        <w:t>、放射性药品等</w:t>
      </w:r>
      <w:r>
        <w:rPr>
          <w:rFonts w:hint="eastAsia" w:ascii="仿宋_GB2312" w:eastAsia="仿宋_GB2312"/>
          <w:sz w:val="32"/>
          <w:szCs w:val="32"/>
        </w:rPr>
        <w:t>特殊药品和疫苗等重点领域监管，加快实现上市疫苗“一物一码”和全程可追溯。严格规范医疗器械采购、验收、贮存、使用、维护和转让行为，加强植入性、无菌等高风险医疗器械的生产</w:t>
      </w:r>
      <w:r>
        <w:rPr>
          <w:rFonts w:ascii="仿宋_GB2312" w:eastAsia="仿宋_GB2312"/>
          <w:sz w:val="32"/>
          <w:szCs w:val="32"/>
        </w:rPr>
        <w:t>、经营、使用监管。</w:t>
      </w:r>
      <w:r>
        <w:rPr>
          <w:rFonts w:hint="eastAsia" w:ascii="仿宋_GB2312" w:eastAsia="仿宋_GB2312"/>
          <w:sz w:val="32"/>
          <w:szCs w:val="32"/>
        </w:rPr>
        <w:t>加强</w:t>
      </w:r>
      <w:r>
        <w:rPr>
          <w:rFonts w:ascii="仿宋_GB2312" w:eastAsia="仿宋_GB2312"/>
          <w:sz w:val="32"/>
          <w:szCs w:val="32"/>
        </w:rPr>
        <w:t>对美容</w:t>
      </w:r>
      <w:r>
        <w:rPr>
          <w:rFonts w:hint="eastAsia" w:ascii="仿宋_GB2312" w:eastAsia="仿宋_GB2312"/>
          <w:sz w:val="32"/>
          <w:szCs w:val="32"/>
        </w:rPr>
        <w:t>美发</w:t>
      </w:r>
      <w:r>
        <w:rPr>
          <w:rFonts w:ascii="仿宋_GB2312" w:eastAsia="仿宋_GB2312"/>
          <w:sz w:val="32"/>
          <w:szCs w:val="32"/>
        </w:rPr>
        <w:t>机构</w:t>
      </w:r>
      <w:r>
        <w:rPr>
          <w:rFonts w:hint="eastAsia" w:ascii="仿宋_GB2312" w:eastAsia="仿宋_GB2312"/>
          <w:sz w:val="32"/>
          <w:szCs w:val="32"/>
        </w:rPr>
        <w:t>、</w:t>
      </w:r>
      <w:r>
        <w:rPr>
          <w:rFonts w:ascii="仿宋_GB2312" w:eastAsia="仿宋_GB2312"/>
          <w:sz w:val="32"/>
          <w:szCs w:val="32"/>
        </w:rPr>
        <w:t>网络</w:t>
      </w:r>
      <w:r>
        <w:rPr>
          <w:rFonts w:hint="eastAsia" w:ascii="仿宋_GB2312" w:eastAsia="仿宋_GB2312"/>
          <w:sz w:val="32"/>
          <w:szCs w:val="32"/>
        </w:rPr>
        <w:t>经营</w:t>
      </w:r>
      <w:r>
        <w:rPr>
          <w:rFonts w:ascii="仿宋_GB2312" w:eastAsia="仿宋_GB2312"/>
          <w:sz w:val="32"/>
          <w:szCs w:val="32"/>
        </w:rPr>
        <w:t>化妆品的监管</w:t>
      </w:r>
      <w:r>
        <w:rPr>
          <w:rFonts w:hint="eastAsia" w:ascii="仿宋_GB2312" w:eastAsia="仿宋_GB2312"/>
          <w:sz w:val="32"/>
          <w:szCs w:val="32"/>
        </w:rPr>
        <w:t>，打击违法</w:t>
      </w:r>
      <w:r>
        <w:rPr>
          <w:rFonts w:ascii="仿宋_GB2312" w:eastAsia="仿宋_GB2312"/>
          <w:sz w:val="32"/>
          <w:szCs w:val="32"/>
        </w:rPr>
        <w:t>添加</w:t>
      </w:r>
      <w:r>
        <w:rPr>
          <w:rFonts w:hint="eastAsia" w:ascii="仿宋_GB2312" w:eastAsia="仿宋_GB2312"/>
          <w:sz w:val="32"/>
          <w:szCs w:val="32"/>
        </w:rPr>
        <w:t>药物和禁用</w:t>
      </w:r>
      <w:r>
        <w:rPr>
          <w:rFonts w:ascii="仿宋_GB2312" w:eastAsia="仿宋_GB2312"/>
          <w:sz w:val="32"/>
          <w:szCs w:val="32"/>
        </w:rPr>
        <w:t>物质</w:t>
      </w:r>
      <w:r>
        <w:rPr>
          <w:rFonts w:hint="eastAsia" w:ascii="仿宋_GB2312" w:eastAsia="仿宋_GB2312"/>
          <w:sz w:val="32"/>
          <w:szCs w:val="32"/>
        </w:rPr>
        <w:t>、</w:t>
      </w:r>
      <w:r>
        <w:rPr>
          <w:rFonts w:ascii="仿宋_GB2312" w:eastAsia="仿宋_GB2312"/>
          <w:sz w:val="32"/>
          <w:szCs w:val="32"/>
        </w:rPr>
        <w:t>超量使用限用物</w:t>
      </w:r>
      <w:r>
        <w:rPr>
          <w:rFonts w:hint="eastAsia" w:ascii="仿宋_GB2312" w:eastAsia="仿宋_GB2312"/>
          <w:sz w:val="32"/>
          <w:szCs w:val="32"/>
        </w:rPr>
        <w:t>质</w:t>
      </w:r>
      <w:r>
        <w:rPr>
          <w:rFonts w:ascii="仿宋_GB2312" w:eastAsia="仿宋_GB2312"/>
          <w:sz w:val="32"/>
          <w:szCs w:val="32"/>
        </w:rPr>
        <w:t>、夸大</w:t>
      </w:r>
      <w:r>
        <w:rPr>
          <w:rFonts w:hint="eastAsia" w:ascii="仿宋_GB2312" w:eastAsia="仿宋_GB2312"/>
          <w:sz w:val="32"/>
          <w:szCs w:val="32"/>
        </w:rPr>
        <w:t>宣传</w:t>
      </w:r>
      <w:r>
        <w:rPr>
          <w:rFonts w:ascii="仿宋_GB2312" w:eastAsia="仿宋_GB2312"/>
          <w:sz w:val="32"/>
          <w:szCs w:val="32"/>
        </w:rPr>
        <w:t>的行为，加强消费者化妆品安全使用警示</w:t>
      </w:r>
      <w:r>
        <w:rPr>
          <w:rFonts w:hint="eastAsia" w:ascii="仿宋_GB2312" w:eastAsia="仿宋_GB2312"/>
          <w:sz w:val="32"/>
          <w:szCs w:val="32"/>
        </w:rPr>
        <w:t>。</w:t>
      </w:r>
    </w:p>
    <w:p>
      <w:pPr>
        <w:spacing w:line="600" w:lineRule="exact"/>
        <w:ind w:firstLine="643" w:firstLineChars="200"/>
        <w:rPr>
          <w:rFonts w:ascii="仿宋_GB2312" w:eastAsia="仿宋_GB2312"/>
          <w:b/>
          <w:bCs/>
          <w:sz w:val="32"/>
          <w:szCs w:val="32"/>
        </w:rPr>
      </w:pPr>
      <w:r>
        <w:rPr>
          <w:rFonts w:hint="eastAsia" w:ascii="仿宋_GB2312" w:eastAsia="仿宋_GB2312"/>
          <w:b/>
          <w:bCs/>
          <w:sz w:val="32"/>
          <w:szCs w:val="32"/>
        </w:rPr>
        <w:t>加强生物安全治理。</w:t>
      </w:r>
      <w:r>
        <w:rPr>
          <w:rFonts w:hint="eastAsia" w:ascii="仿宋_GB2312" w:eastAsia="仿宋_GB2312"/>
          <w:sz w:val="32"/>
          <w:szCs w:val="32"/>
        </w:rPr>
        <w:t>完善生物安全地方性法规标准，防范外来物种入侵。加强动物源性疾病监管，开展人畜（兽）共患病、野生动物疫病的联合监测和风险研判。规范生物技术研究开发活动，加强生物安全实验室的建设和监管。</w:t>
      </w:r>
    </w:p>
    <w:p>
      <w:pPr>
        <w:pStyle w:val="8"/>
        <w:spacing w:line="600" w:lineRule="exact"/>
      </w:pPr>
    </w:p>
    <w:p>
      <w:pPr>
        <w:spacing w:line="600" w:lineRule="exact"/>
        <w:jc w:val="center"/>
        <w:outlineLvl w:val="2"/>
        <w:rPr>
          <w:rFonts w:ascii="楷体" w:hAnsi="楷体" w:eastAsia="楷体" w:cs="楷体"/>
          <w:b/>
          <w:bCs/>
          <w:sz w:val="32"/>
          <w:szCs w:val="32"/>
        </w:rPr>
      </w:pPr>
      <w:bookmarkStart w:id="5588" w:name="_Toc253"/>
      <w:bookmarkStart w:id="5589" w:name="_Toc13916"/>
      <w:bookmarkStart w:id="5590" w:name="_Toc7481"/>
      <w:bookmarkStart w:id="5591" w:name="_Toc31767"/>
      <w:bookmarkStart w:id="5592" w:name="_Toc12584"/>
      <w:bookmarkStart w:id="5593" w:name="_Toc21915"/>
      <w:bookmarkStart w:id="5594" w:name="_Toc16136"/>
      <w:bookmarkStart w:id="5595" w:name="_Toc608"/>
      <w:bookmarkStart w:id="5596" w:name="_Toc14148"/>
      <w:bookmarkStart w:id="5597" w:name="_Toc16355"/>
      <w:bookmarkStart w:id="5598" w:name="_Toc27162"/>
      <w:bookmarkStart w:id="5599" w:name="_Toc14399"/>
      <w:bookmarkStart w:id="5600" w:name="_Toc31059"/>
      <w:bookmarkStart w:id="5601" w:name="_Toc17735"/>
      <w:bookmarkStart w:id="5602" w:name="_Toc31797"/>
      <w:bookmarkStart w:id="5603" w:name="_Toc30503"/>
      <w:bookmarkStart w:id="5604" w:name="_Toc333"/>
      <w:bookmarkStart w:id="5605" w:name="_Toc8355"/>
      <w:bookmarkStart w:id="5606" w:name="_Toc17933"/>
      <w:bookmarkStart w:id="5607" w:name="_Toc4584"/>
      <w:bookmarkStart w:id="5608" w:name="_Toc31117"/>
      <w:bookmarkStart w:id="5609" w:name="_Toc8488"/>
      <w:bookmarkStart w:id="5610" w:name="_Toc29136"/>
      <w:bookmarkStart w:id="5611" w:name="_Toc23273"/>
      <w:bookmarkStart w:id="5612" w:name="_Toc10939"/>
      <w:bookmarkStart w:id="5613" w:name="_Toc12922"/>
      <w:bookmarkStart w:id="5614" w:name="_Toc11944"/>
      <w:bookmarkStart w:id="5615" w:name="_Toc18827"/>
      <w:bookmarkStart w:id="5616" w:name="_Toc8732"/>
      <w:bookmarkStart w:id="5617" w:name="_Toc31423"/>
      <w:bookmarkStart w:id="5618" w:name="_Toc29731"/>
      <w:bookmarkStart w:id="5619" w:name="_Toc605"/>
      <w:bookmarkStart w:id="5620" w:name="_Toc14397"/>
      <w:bookmarkStart w:id="5621" w:name="_Toc21283"/>
      <w:bookmarkStart w:id="5622" w:name="_Toc14023"/>
      <w:bookmarkStart w:id="5623" w:name="_Toc12579"/>
      <w:bookmarkStart w:id="5624" w:name="_Toc2784"/>
      <w:bookmarkStart w:id="5625" w:name="_Toc28606"/>
      <w:bookmarkStart w:id="5626" w:name="_Toc29481"/>
      <w:bookmarkStart w:id="5627" w:name="_Toc22411"/>
      <w:bookmarkStart w:id="5628" w:name="_Toc22872"/>
      <w:bookmarkStart w:id="5629" w:name="_Toc10692"/>
      <w:bookmarkStart w:id="5630" w:name="_Toc2340"/>
      <w:bookmarkStart w:id="5631" w:name="_Toc5637"/>
      <w:bookmarkStart w:id="5632" w:name="_Toc16681"/>
      <w:bookmarkStart w:id="5633" w:name="_Toc19563"/>
      <w:bookmarkStart w:id="5634" w:name="_Toc27144"/>
      <w:bookmarkStart w:id="5635" w:name="_Toc30145"/>
      <w:bookmarkStart w:id="5636" w:name="_Toc29077"/>
      <w:bookmarkStart w:id="5637" w:name="_Toc4255"/>
      <w:bookmarkStart w:id="5638" w:name="_Toc11499"/>
      <w:bookmarkStart w:id="5639" w:name="_Toc24633"/>
      <w:bookmarkStart w:id="5640" w:name="_Toc25152"/>
      <w:r>
        <w:rPr>
          <w:rFonts w:hint="eastAsia" w:ascii="楷体" w:hAnsi="楷体" w:eastAsia="楷体" w:cs="楷体"/>
          <w:b/>
          <w:bCs/>
          <w:sz w:val="32"/>
          <w:szCs w:val="32"/>
        </w:rPr>
        <w:t xml:space="preserve">第五节 </w:t>
      </w:r>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r>
        <w:rPr>
          <w:rFonts w:hint="eastAsia" w:ascii="楷体" w:hAnsi="楷体" w:eastAsia="楷体" w:cs="楷体"/>
          <w:b/>
          <w:bCs/>
          <w:sz w:val="32"/>
          <w:szCs w:val="32"/>
        </w:rPr>
        <w:t>维护社会稳定和加强经济安全</w:t>
      </w:r>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p>
    <w:p>
      <w:pPr>
        <w:overflowPunct w:val="0"/>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加强国家安全体系和能力建设。</w:t>
      </w:r>
      <w:r>
        <w:rPr>
          <w:rFonts w:hint="eastAsia" w:ascii="仿宋_GB2312" w:hAnsi="仿宋_GB2312" w:eastAsia="仿宋_GB2312" w:cs="仿宋_GB2312"/>
          <w:bCs/>
          <w:sz w:val="32"/>
          <w:szCs w:val="32"/>
        </w:rPr>
        <w:t>贯彻落实总体国家安全观，统筹做好维护重点领域国家安全工作，完善地方涉国家安全风险研判、防控协同、防范化解机制。始终把防范政治安全风险置于首位，严密防范和打击敌对势力渗透颠覆捣乱破坏</w:t>
      </w:r>
      <w:r>
        <w:rPr>
          <w:rFonts w:hint="eastAsia" w:ascii="仿宋_GB2312" w:hAnsi="仿宋_GB2312" w:eastAsia="仿宋_GB2312" w:cs="仿宋_GB2312"/>
          <w:sz w:val="32"/>
          <w:szCs w:val="32"/>
        </w:rPr>
        <w:t>、暴力恐怖、民族分裂和宗教极端活动，坚决捍卫国家政治安全。加强国家安全人民防线建设，建立多层次国家安全宣传和教育培训机制。严格落实意识形态工作责任制，全面加强学校思想政治工作，加强网络、高校、青少年等重要阵地建设管理，坚决守好意识形态安全“南大门”。</w:t>
      </w:r>
    </w:p>
    <w:p>
      <w:pPr>
        <w:overflowPunct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完善社会治安防控体系。</w:t>
      </w:r>
      <w:r>
        <w:rPr>
          <w:rFonts w:hint="eastAsia" w:ascii="仿宋_GB2312" w:hAnsi="仿宋_GB2312" w:eastAsia="仿宋_GB2312" w:cs="仿宋_GB2312"/>
          <w:sz w:val="32"/>
          <w:szCs w:val="32"/>
        </w:rPr>
        <w:t>建立平安建设联动和协调工作机制，落实平安建设主体责任，加强内部人防、物防、技防等防范措施。健全完善立体化、信息化社会治安防控体系，全面落实打防管控各项措施，依法严厉打击涉黑涉恶、涉枪涉爆、新型网络犯罪、跨国犯罪和“黄赌毒”“食药环”“盗抢骗”等违法犯罪活动，加强学校、医院、城中村、娱乐场所、车站口岸、港口机场、大型活动等重点区域防控。加强跨区警务协作，完善区域</w:t>
      </w:r>
      <w:r>
        <w:rPr>
          <w:rFonts w:hint="eastAsia" w:ascii="仿宋_GB2312" w:hAnsi="仿宋_GB2312" w:eastAsia="仿宋_GB2312" w:cs="仿宋_GB2312"/>
          <w:color w:val="000000" w:themeColor="text1"/>
          <w:kern w:val="0"/>
          <w:sz w:val="32"/>
          <w:szCs w:val="32"/>
          <w14:textFill>
            <w14:solidFill>
              <w14:schemeClr w14:val="tx1"/>
            </w14:solidFill>
          </w14:textFill>
        </w:rPr>
        <w:t>社会治安治理联动机制</w:t>
      </w:r>
      <w:r>
        <w:rPr>
          <w:rFonts w:hint="eastAsia" w:ascii="仿宋_GB2312" w:hAnsi="仿宋_GB2312" w:eastAsia="仿宋_GB2312" w:cs="仿宋_GB2312"/>
          <w:sz w:val="32"/>
          <w:szCs w:val="32"/>
        </w:rPr>
        <w:t>。“十四五”期间，万人八类刑事案件立案平均数控制在1.5起以内。</w:t>
      </w:r>
    </w:p>
    <w:p>
      <w:pPr>
        <w:pStyle w:val="8"/>
        <w:spacing w:line="600" w:lineRule="exact"/>
        <w:ind w:firstLine="643"/>
      </w:pPr>
      <w:r>
        <w:rPr>
          <w:rFonts w:hint="eastAsia" w:ascii="仿宋_GB2312" w:hAnsi="仿宋_GB2312" w:eastAsia="仿宋_GB2312" w:cs="仿宋_GB2312"/>
          <w:b/>
          <w:bCs/>
          <w:sz w:val="32"/>
        </w:rPr>
        <w:t>全面加强经济安全。</w:t>
      </w:r>
      <w:r>
        <w:rPr>
          <w:rFonts w:hint="eastAsia" w:ascii="仿宋_GB2312" w:hAnsi="仿宋_GB2312" w:eastAsia="仿宋_GB2312" w:cs="仿宋_GB2312"/>
          <w:sz w:val="32"/>
        </w:rPr>
        <w:t>健全对外开放安全保障体系，发展先进适用技术，实现重要产业、基础设施、战略资源、重大科技等关键领域安全可控。加强新兴金融领域的监管和风险预警，提升金融业关键信息基础设施安全水平</w:t>
      </w:r>
      <w:r>
        <w:rPr>
          <w:rFonts w:hint="eastAsia" w:ascii="仿宋_GB2312" w:hAnsi="仿宋_GB2312" w:eastAsia="仿宋_GB2312" w:cs="仿宋_GB2312"/>
          <w:spacing w:val="-6"/>
          <w:sz w:val="32"/>
          <w:szCs w:val="32"/>
        </w:rPr>
        <w:t>，试点“沙盒监管”管理模式</w:t>
      </w:r>
      <w:r>
        <w:rPr>
          <w:rFonts w:hint="eastAsia" w:ascii="仿宋_GB2312" w:hAnsi="仿宋_GB2312" w:eastAsia="仿宋_GB2312" w:cs="仿宋_GB2312"/>
          <w:sz w:val="32"/>
        </w:rPr>
        <w:t>，探索建立金融风险管理与压力测试平台，</w:t>
      </w:r>
      <w:r>
        <w:rPr>
          <w:rFonts w:hint="eastAsia" w:ascii="仿宋_GB2312" w:hAnsi="仿宋_GB2312" w:eastAsia="仿宋_GB2312" w:cs="仿宋_GB2312"/>
          <w:spacing w:val="-6"/>
          <w:sz w:val="32"/>
          <w:szCs w:val="32"/>
        </w:rPr>
        <w:t>建设金融创新监管试验区。</w:t>
      </w:r>
      <w:r>
        <w:rPr>
          <w:rFonts w:hint="eastAsia" w:ascii="仿宋_GB2312" w:hAnsi="仿宋_GB2312" w:eastAsia="仿宋_GB2312" w:cs="仿宋_GB2312"/>
          <w:sz w:val="32"/>
        </w:rPr>
        <w:t>完善供应链安全风险预警监测体系和风险防控体系，提高动态监测和实时预警能力，增强应对重大冲击能力。加强政府债务和中长期支出责任管理，强化地方政府隐性债务风险防范。</w:t>
      </w:r>
      <w:r>
        <w:rPr>
          <w:rFonts w:hint="eastAsia"/>
        </w:rPr>
        <w:br w:type="page"/>
      </w:r>
    </w:p>
    <w:p>
      <w:pPr>
        <w:spacing w:line="600" w:lineRule="exact"/>
        <w:jc w:val="center"/>
        <w:outlineLvl w:val="0"/>
        <w:rPr>
          <w:rFonts w:ascii="黑体" w:hAnsi="黑体" w:eastAsia="黑体" w:cs="黑体"/>
          <w:sz w:val="40"/>
          <w:szCs w:val="40"/>
        </w:rPr>
      </w:pPr>
      <w:bookmarkStart w:id="5641" w:name="_Toc20656"/>
      <w:bookmarkStart w:id="5642" w:name="_Toc12546"/>
      <w:bookmarkStart w:id="5643" w:name="_Toc23317"/>
      <w:bookmarkStart w:id="5644" w:name="_Toc26555"/>
      <w:bookmarkStart w:id="5645" w:name="_Toc22090"/>
      <w:bookmarkStart w:id="5646" w:name="_Toc7444"/>
      <w:bookmarkStart w:id="5647" w:name="_Toc30359"/>
      <w:bookmarkStart w:id="5648" w:name="_Toc32464"/>
      <w:bookmarkStart w:id="5649" w:name="_Toc13133"/>
      <w:bookmarkStart w:id="5650" w:name="_Toc19399"/>
      <w:bookmarkStart w:id="5651" w:name="_Toc17653"/>
      <w:bookmarkStart w:id="5652" w:name="_Toc21657"/>
      <w:bookmarkStart w:id="5653" w:name="_Toc17917"/>
      <w:bookmarkStart w:id="5654" w:name="_Toc32245"/>
      <w:bookmarkStart w:id="5655" w:name="_Toc22586"/>
      <w:bookmarkStart w:id="5656" w:name="_Toc24781"/>
      <w:bookmarkStart w:id="5657" w:name="_Toc28571"/>
      <w:bookmarkStart w:id="5658" w:name="_Toc16761"/>
      <w:bookmarkStart w:id="5659" w:name="_Toc26383"/>
      <w:bookmarkStart w:id="5660" w:name="_Toc22196"/>
      <w:bookmarkStart w:id="5661" w:name="_Toc16073"/>
      <w:bookmarkStart w:id="5662" w:name="_Toc4969"/>
      <w:bookmarkStart w:id="5663" w:name="_Toc8368"/>
      <w:bookmarkStart w:id="5664" w:name="_Toc5855"/>
      <w:bookmarkStart w:id="5665" w:name="_Toc19881"/>
      <w:bookmarkStart w:id="5666" w:name="_Toc29396"/>
      <w:bookmarkStart w:id="5667" w:name="_Toc13139"/>
      <w:bookmarkStart w:id="5668" w:name="_Toc2571"/>
      <w:bookmarkStart w:id="5669" w:name="_Toc13605"/>
      <w:bookmarkStart w:id="5670" w:name="_Toc9433"/>
      <w:bookmarkStart w:id="5671" w:name="_Toc20588"/>
      <w:bookmarkStart w:id="5672" w:name="_Toc28544"/>
      <w:bookmarkStart w:id="5673" w:name="_Toc30550"/>
      <w:bookmarkStart w:id="5674" w:name="_Toc20053"/>
      <w:bookmarkStart w:id="5675" w:name="_Toc16568"/>
      <w:bookmarkStart w:id="5676" w:name="_Toc5832"/>
      <w:bookmarkStart w:id="5677" w:name="_Toc27580"/>
      <w:bookmarkStart w:id="5678" w:name="_Toc15119"/>
      <w:bookmarkStart w:id="5679" w:name="_Toc12423"/>
      <w:bookmarkStart w:id="5680" w:name="_Toc7711"/>
      <w:bookmarkStart w:id="5681" w:name="_Toc6986"/>
      <w:bookmarkStart w:id="5682" w:name="_Toc21869"/>
      <w:bookmarkStart w:id="5683" w:name="_Toc14093"/>
      <w:bookmarkStart w:id="5684" w:name="_Toc15421"/>
      <w:bookmarkStart w:id="5685" w:name="_Toc18458"/>
      <w:bookmarkStart w:id="5686" w:name="_Toc8751"/>
      <w:bookmarkStart w:id="5687" w:name="_Toc26968"/>
      <w:bookmarkStart w:id="5688" w:name="_Toc18371"/>
      <w:bookmarkStart w:id="5689" w:name="_Toc11807"/>
      <w:bookmarkStart w:id="5690" w:name="_Toc454"/>
      <w:bookmarkStart w:id="5691" w:name="_Toc31754"/>
      <w:bookmarkStart w:id="5692" w:name="_Toc25555"/>
      <w:bookmarkStart w:id="5693" w:name="_Toc10848"/>
      <w:r>
        <w:rPr>
          <w:rFonts w:hint="eastAsia" w:ascii="黑体" w:hAnsi="黑体" w:eastAsia="黑体" w:cs="黑体"/>
          <w:sz w:val="40"/>
          <w:szCs w:val="40"/>
        </w:rPr>
        <w:t>第十篇 凝心聚力推动深圳先行示范区美好蓝图变为现实</w:t>
      </w:r>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p>
    <w:p>
      <w:pPr>
        <w:spacing w:line="600" w:lineRule="exact"/>
      </w:pPr>
    </w:p>
    <w:p>
      <w:pPr>
        <w:autoSpaceDE w:val="0"/>
        <w:autoSpaceDN w:val="0"/>
        <w:adjustRightInd w:val="0"/>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坚持和加强党的全面领导，把党的领导制度优势转化为治理效能，更好履行政府职责，发挥发展规划对经济社会发展的统领作用，形成建设深圳先行示范区的强大合力。</w:t>
      </w:r>
    </w:p>
    <w:p>
      <w:pPr>
        <w:spacing w:line="600" w:lineRule="exact"/>
      </w:pPr>
    </w:p>
    <w:p>
      <w:pPr>
        <w:adjustRightInd w:val="0"/>
        <w:snapToGrid w:val="0"/>
        <w:spacing w:line="600" w:lineRule="exact"/>
        <w:jc w:val="center"/>
        <w:outlineLvl w:val="1"/>
        <w:rPr>
          <w:rFonts w:ascii="黑体" w:hAnsi="黑体" w:eastAsia="黑体" w:cs="黑体"/>
          <w:sz w:val="36"/>
          <w:szCs w:val="36"/>
        </w:rPr>
      </w:pPr>
      <w:bookmarkStart w:id="5694" w:name="_Toc5498"/>
      <w:bookmarkStart w:id="5695" w:name="_Toc32345"/>
      <w:bookmarkStart w:id="5696" w:name="_Toc30702"/>
      <w:bookmarkStart w:id="5697" w:name="_Toc32726"/>
      <w:bookmarkStart w:id="5698" w:name="_Toc14889"/>
      <w:bookmarkStart w:id="5699" w:name="_Toc25206"/>
      <w:bookmarkStart w:id="5700" w:name="_Toc20779"/>
      <w:bookmarkStart w:id="5701" w:name="_Toc31916"/>
      <w:bookmarkStart w:id="5702" w:name="_Toc30911"/>
      <w:bookmarkStart w:id="5703" w:name="_Toc8163"/>
      <w:bookmarkStart w:id="5704" w:name="_Toc21937"/>
      <w:bookmarkStart w:id="5705" w:name="_Toc32219"/>
      <w:bookmarkStart w:id="5706" w:name="_Toc21291"/>
      <w:bookmarkStart w:id="5707" w:name="_Toc23410"/>
      <w:bookmarkStart w:id="5708" w:name="_Toc765"/>
      <w:bookmarkStart w:id="5709" w:name="_Toc22590"/>
      <w:bookmarkStart w:id="5710" w:name="_Toc17871"/>
      <w:bookmarkStart w:id="5711" w:name="_Toc22587"/>
      <w:bookmarkStart w:id="5712" w:name="_Toc31335"/>
      <w:bookmarkStart w:id="5713" w:name="_Toc14345"/>
      <w:bookmarkStart w:id="5714" w:name="_Toc30251"/>
      <w:bookmarkStart w:id="5715" w:name="_Toc14069"/>
      <w:bookmarkStart w:id="5716" w:name="_Toc3899"/>
      <w:bookmarkStart w:id="5717" w:name="_Toc18660"/>
      <w:bookmarkStart w:id="5718" w:name="_Toc380"/>
      <w:bookmarkStart w:id="5719" w:name="_Toc22071"/>
      <w:bookmarkStart w:id="5720" w:name="_Toc29079"/>
      <w:bookmarkStart w:id="5721" w:name="_Toc4215"/>
      <w:bookmarkStart w:id="5722" w:name="_Toc20945"/>
      <w:bookmarkStart w:id="5723" w:name="_Toc25198"/>
      <w:bookmarkStart w:id="5724" w:name="_Toc23669"/>
      <w:bookmarkStart w:id="5725" w:name="_Toc14590"/>
      <w:bookmarkStart w:id="5726" w:name="_Toc11289"/>
      <w:bookmarkStart w:id="5727" w:name="_Toc10228"/>
      <w:bookmarkStart w:id="5728" w:name="_Toc13665"/>
      <w:bookmarkStart w:id="5729" w:name="_Toc19227"/>
      <w:bookmarkStart w:id="5730" w:name="_Toc30435"/>
      <w:bookmarkStart w:id="5731" w:name="_Toc3741"/>
      <w:bookmarkStart w:id="5732" w:name="_Toc31225"/>
      <w:bookmarkStart w:id="5733" w:name="_Toc32296"/>
      <w:bookmarkStart w:id="5734" w:name="_Toc22261"/>
      <w:bookmarkStart w:id="5735" w:name="_Toc16530"/>
      <w:bookmarkStart w:id="5736" w:name="_Toc22284"/>
      <w:bookmarkStart w:id="5737" w:name="_Toc24553"/>
      <w:bookmarkStart w:id="5738" w:name="_Toc7754"/>
      <w:bookmarkStart w:id="5739" w:name="_Toc17288"/>
      <w:bookmarkStart w:id="5740" w:name="_Toc81"/>
      <w:bookmarkStart w:id="5741" w:name="_Toc31694"/>
      <w:bookmarkStart w:id="5742" w:name="_Toc26037"/>
      <w:bookmarkStart w:id="5743" w:name="_Toc28269"/>
      <w:bookmarkStart w:id="5744" w:name="_Toc15911"/>
      <w:bookmarkStart w:id="5745" w:name="_Toc17945"/>
      <w:bookmarkStart w:id="5746" w:name="_Toc19945"/>
      <w:bookmarkStart w:id="5747" w:name="_Toc22246"/>
      <w:bookmarkStart w:id="5748" w:name="_Toc3341"/>
      <w:bookmarkStart w:id="5749" w:name="_Toc1692"/>
      <w:bookmarkStart w:id="5750" w:name="_Toc4594"/>
      <w:bookmarkStart w:id="5751" w:name="_Toc7523"/>
      <w:bookmarkStart w:id="5752" w:name="_Toc19240"/>
      <w:bookmarkStart w:id="5753" w:name="_Toc14070"/>
      <w:bookmarkStart w:id="5754" w:name="_Toc24277"/>
      <w:bookmarkStart w:id="5755" w:name="_Toc27178"/>
      <w:bookmarkStart w:id="5756" w:name="_Toc32663"/>
      <w:bookmarkStart w:id="5757" w:name="_Toc17712"/>
      <w:bookmarkStart w:id="5758" w:name="_Toc10238"/>
      <w:bookmarkStart w:id="5759" w:name="_Toc27761"/>
      <w:bookmarkStart w:id="5760" w:name="_Toc22470"/>
      <w:bookmarkStart w:id="5761" w:name="_Toc22271"/>
      <w:bookmarkStart w:id="5762" w:name="_Toc11998"/>
      <w:bookmarkStart w:id="5763" w:name="_Toc25602"/>
      <w:bookmarkStart w:id="5764" w:name="_Toc18206"/>
      <w:bookmarkStart w:id="5765" w:name="_Toc5291"/>
      <w:bookmarkStart w:id="5766" w:name="_Toc816"/>
      <w:r>
        <w:fldChar w:fldCharType="begin"/>
      </w:r>
      <w:r>
        <w:instrText xml:space="preserve"> HYPERLINK \l "_Toc10368" </w:instrText>
      </w:r>
      <w:r>
        <w:fldChar w:fldCharType="end"/>
      </w:r>
      <w:r>
        <w:fldChar w:fldCharType="begin"/>
      </w:r>
      <w:r>
        <w:instrText xml:space="preserve"> HYPERLINK \l "_Toc23410" </w:instrText>
      </w:r>
      <w:r>
        <w:fldChar w:fldCharType="separate"/>
      </w:r>
      <w:r>
        <w:rPr>
          <w:rFonts w:hint="eastAsia" w:ascii="黑体" w:hAnsi="黑体" w:eastAsia="黑体" w:cs="黑体"/>
          <w:sz w:val="36"/>
          <w:szCs w:val="36"/>
        </w:rPr>
        <w:t>第十九章 加</w:t>
      </w:r>
      <w:r>
        <w:rPr>
          <w:rFonts w:hint="eastAsia" w:ascii="黑体" w:hAnsi="黑体" w:eastAsia="黑体" w:cs="黑体"/>
          <w:sz w:val="36"/>
          <w:szCs w:val="36"/>
        </w:rPr>
        <w:fldChar w:fldCharType="end"/>
      </w:r>
      <w:r>
        <w:rPr>
          <w:rFonts w:hint="eastAsia" w:ascii="黑体" w:hAnsi="黑体" w:eastAsia="黑体" w:cs="黑体"/>
          <w:sz w:val="36"/>
          <w:szCs w:val="36"/>
        </w:rPr>
        <w:t>强规划实施保障</w:t>
      </w:r>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p>
    <w:p>
      <w:pPr>
        <w:pStyle w:val="14"/>
        <w:spacing w:line="600" w:lineRule="exact"/>
      </w:pPr>
    </w:p>
    <w:p>
      <w:pPr>
        <w:autoSpaceDE w:val="0"/>
        <w:autoSpaceDN w:val="0"/>
        <w:adjustRightInd w:val="0"/>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进一步完善规划体系，健全规划实施机制，增强规划约束性，强化政策统筹协调，加强规划任务落实和评估考核，引导全社会共同参与和有效实施，确保“十四五”规划和二〇三五年远景目标顺利</w:t>
      </w:r>
      <w:r>
        <w:rPr>
          <w:rFonts w:ascii="仿宋_GB2312" w:hAnsi="Times New Roman" w:eastAsia="仿宋_GB2312"/>
          <w:sz w:val="32"/>
          <w:szCs w:val="32"/>
        </w:rPr>
        <w:t>完成</w:t>
      </w:r>
      <w:r>
        <w:rPr>
          <w:rFonts w:hint="eastAsia" w:ascii="仿宋_GB2312" w:hAnsi="Times New Roman" w:eastAsia="仿宋_GB2312"/>
          <w:sz w:val="32"/>
          <w:szCs w:val="32"/>
        </w:rPr>
        <w:t>。</w:t>
      </w:r>
    </w:p>
    <w:p>
      <w:pPr>
        <w:spacing w:line="600" w:lineRule="exact"/>
      </w:pPr>
    </w:p>
    <w:p>
      <w:pPr>
        <w:spacing w:line="600" w:lineRule="exact"/>
        <w:jc w:val="center"/>
        <w:outlineLvl w:val="2"/>
        <w:rPr>
          <w:rFonts w:ascii="楷体" w:hAnsi="楷体" w:eastAsia="楷体" w:cs="楷体"/>
          <w:b/>
          <w:bCs/>
          <w:sz w:val="32"/>
          <w:szCs w:val="32"/>
        </w:rPr>
      </w:pPr>
      <w:bookmarkStart w:id="5767" w:name="_Toc6416"/>
      <w:bookmarkStart w:id="5768" w:name="_Toc26476"/>
      <w:bookmarkStart w:id="5769" w:name="_Toc24748"/>
      <w:bookmarkStart w:id="5770" w:name="_Toc11047"/>
      <w:bookmarkStart w:id="5771" w:name="_Toc17392"/>
      <w:bookmarkStart w:id="5772" w:name="_Toc28321"/>
      <w:bookmarkStart w:id="5773" w:name="_Toc22102"/>
      <w:bookmarkStart w:id="5774" w:name="_Toc8571"/>
      <w:bookmarkStart w:id="5775" w:name="_Toc10417"/>
      <w:bookmarkStart w:id="5776" w:name="_Toc18783"/>
      <w:bookmarkStart w:id="5777" w:name="_Toc7721"/>
      <w:bookmarkStart w:id="5778" w:name="_Toc15383"/>
      <w:bookmarkStart w:id="5779" w:name="_Toc23571"/>
      <w:bookmarkStart w:id="5780" w:name="_Toc13751"/>
      <w:bookmarkStart w:id="5781" w:name="_Toc24582"/>
      <w:bookmarkStart w:id="5782" w:name="_Toc8491"/>
      <w:bookmarkStart w:id="5783" w:name="_Toc22795"/>
      <w:bookmarkStart w:id="5784" w:name="_Toc11980"/>
      <w:bookmarkStart w:id="5785" w:name="_Toc27671"/>
      <w:bookmarkStart w:id="5786" w:name="_Toc20641"/>
      <w:bookmarkStart w:id="5787" w:name="_Toc826"/>
      <w:bookmarkStart w:id="5788" w:name="_Toc10549"/>
      <w:bookmarkStart w:id="5789" w:name="_Toc13318"/>
      <w:bookmarkStart w:id="5790" w:name="_Toc22042"/>
      <w:bookmarkStart w:id="5791" w:name="_Toc32752"/>
      <w:bookmarkStart w:id="5792" w:name="_Toc21696"/>
      <w:bookmarkStart w:id="5793" w:name="_Toc27375"/>
      <w:bookmarkStart w:id="5794" w:name="_Toc4311"/>
      <w:bookmarkStart w:id="5795" w:name="_Toc22035"/>
      <w:bookmarkStart w:id="5796" w:name="_Toc12353"/>
      <w:bookmarkStart w:id="5797" w:name="_Toc21646"/>
      <w:bookmarkStart w:id="5798" w:name="_Toc10999"/>
      <w:bookmarkStart w:id="5799" w:name="_Toc31089"/>
      <w:bookmarkStart w:id="5800" w:name="_Toc22400"/>
      <w:bookmarkStart w:id="5801" w:name="_Toc1584"/>
      <w:bookmarkStart w:id="5802" w:name="_Toc31231"/>
      <w:bookmarkStart w:id="5803" w:name="_Toc8071"/>
      <w:bookmarkStart w:id="5804" w:name="_Toc16759"/>
      <w:bookmarkStart w:id="5805" w:name="_Toc30097"/>
      <w:bookmarkStart w:id="5806" w:name="_Toc23121"/>
      <w:bookmarkStart w:id="5807" w:name="_Toc2381"/>
      <w:bookmarkStart w:id="5808" w:name="_Toc9443"/>
      <w:bookmarkStart w:id="5809" w:name="_Toc13943"/>
      <w:bookmarkStart w:id="5810" w:name="_Toc8137"/>
      <w:bookmarkStart w:id="5811" w:name="_Toc18918"/>
      <w:bookmarkStart w:id="5812" w:name="_Toc24570"/>
      <w:bookmarkStart w:id="5813" w:name="_Toc4146"/>
      <w:bookmarkStart w:id="5814" w:name="_Toc1352"/>
      <w:bookmarkStart w:id="5815" w:name="_Toc28589"/>
      <w:bookmarkStart w:id="5816" w:name="_Toc4713"/>
      <w:bookmarkStart w:id="5817" w:name="_Toc9572"/>
      <w:bookmarkStart w:id="5818" w:name="_Toc9400"/>
      <w:bookmarkStart w:id="5819" w:name="_Toc2717"/>
      <w:bookmarkStart w:id="5820" w:name="_Toc15804"/>
      <w:bookmarkStart w:id="5821" w:name="_Toc8424"/>
      <w:bookmarkStart w:id="5822" w:name="_Toc9876"/>
      <w:bookmarkStart w:id="5823" w:name="_Toc26658"/>
      <w:bookmarkStart w:id="5824" w:name="_Toc7326"/>
      <w:bookmarkStart w:id="5825" w:name="_Toc13825"/>
      <w:bookmarkStart w:id="5826" w:name="_Toc9974"/>
      <w:bookmarkStart w:id="5827" w:name="_Toc18710"/>
      <w:bookmarkStart w:id="5828" w:name="_Toc11192"/>
      <w:bookmarkStart w:id="5829" w:name="_Toc17551"/>
      <w:bookmarkStart w:id="5830" w:name="_Toc31001"/>
      <w:bookmarkStart w:id="5831" w:name="_Toc24794"/>
      <w:bookmarkStart w:id="5832" w:name="_Toc24541"/>
      <w:bookmarkStart w:id="5833" w:name="_Toc30234"/>
      <w:bookmarkStart w:id="5834" w:name="_Toc31417"/>
      <w:bookmarkStart w:id="5835" w:name="_Toc15982"/>
      <w:bookmarkStart w:id="5836" w:name="_Toc6974"/>
      <w:bookmarkStart w:id="5837" w:name="_Toc29030"/>
      <w:bookmarkStart w:id="5838" w:name="_Toc16497"/>
      <w:bookmarkStart w:id="5839" w:name="_Toc19962"/>
      <w:r>
        <w:rPr>
          <w:rFonts w:hint="eastAsia" w:ascii="楷体" w:hAnsi="楷体" w:eastAsia="楷体" w:cs="楷体"/>
          <w:b/>
          <w:bCs/>
          <w:sz w:val="32"/>
          <w:szCs w:val="32"/>
        </w:rPr>
        <w:t>第一节</w:t>
      </w:r>
      <w:r>
        <w:fldChar w:fldCharType="begin"/>
      </w:r>
      <w:r>
        <w:instrText xml:space="preserve"> HYPERLINK \l "_Toc10368" </w:instrText>
      </w:r>
      <w:r>
        <w:fldChar w:fldCharType="separate"/>
      </w:r>
      <w:r>
        <w:rPr>
          <w:rFonts w:hint="eastAsia" w:ascii="楷体" w:hAnsi="楷体" w:eastAsia="楷体" w:cs="楷体"/>
          <w:b/>
          <w:bCs/>
          <w:sz w:val="32"/>
          <w:szCs w:val="32"/>
        </w:rPr>
        <w:t xml:space="preserve"> </w:t>
      </w:r>
      <w:r>
        <w:rPr>
          <w:rFonts w:hint="eastAsia" w:ascii="楷体" w:hAnsi="楷体" w:eastAsia="楷体" w:cs="楷体"/>
          <w:b/>
          <w:bCs/>
          <w:sz w:val="32"/>
          <w:szCs w:val="32"/>
        </w:rPr>
        <w:fldChar w:fldCharType="end"/>
      </w:r>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r>
        <w:rPr>
          <w:rFonts w:hint="eastAsia" w:ascii="楷体" w:hAnsi="楷体" w:eastAsia="楷体" w:cs="楷体"/>
          <w:b/>
          <w:bCs/>
          <w:sz w:val="32"/>
          <w:szCs w:val="32"/>
        </w:rPr>
        <w:t>坚持和加强党的全面领导</w:t>
      </w:r>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p>
    <w:p>
      <w:pPr>
        <w:snapToGrid w:val="0"/>
        <w:spacing w:line="600" w:lineRule="exact"/>
        <w:ind w:firstLine="643" w:firstLineChars="200"/>
        <w:rPr>
          <w:rFonts w:ascii="仿宋_GB2312" w:hAnsi="Times New Roman" w:eastAsia="仿宋_GB2312"/>
          <w:sz w:val="32"/>
          <w:szCs w:val="32"/>
        </w:rPr>
      </w:pPr>
      <w:r>
        <w:rPr>
          <w:rFonts w:hint="eastAsia" w:ascii="仿宋_GB2312" w:eastAsia="仿宋_GB2312"/>
          <w:b/>
          <w:bCs/>
          <w:sz w:val="32"/>
          <w:szCs w:val="32"/>
        </w:rPr>
        <w:t>加强党的全面领导和党的建设。</w:t>
      </w:r>
      <w:r>
        <w:rPr>
          <w:rFonts w:hint="eastAsia" w:ascii="仿宋_GB2312" w:eastAsia="仿宋_GB2312"/>
          <w:sz w:val="32"/>
          <w:szCs w:val="32"/>
        </w:rPr>
        <w:t>把学习贯彻习近平新时代中国特色社会主义思想作为头等大事和首要政治任务，增强“四个意识”，坚定“四个自信”，做到“两个维护”，坚决按照习近平总书记、党中央要求谋划推动深圳发展，严明政治纪律和政治规矩，不断涵养风清气正的良好政治生态。坚持和完善党领导经济社会发展的体制机制，完善党委研究经济社会发展战略、分析经济形势、研究重大政策的工作机制，织牢织密上下贯通、执行有力的组织体系，建立健全推动高质量发展率先实现社会主义现代化的指标体系、政策体系、考评体系。扩大基层党的组织覆盖和工作覆盖，推进基层党组织“标准＋质量＋示范”建设，把基层党组织打造成为坚强战斗堡垒。</w:t>
      </w:r>
    </w:p>
    <w:p>
      <w:pPr>
        <w:autoSpaceDE w:val="0"/>
        <w:autoSpaceDN w:val="0"/>
        <w:adjustRightInd w:val="0"/>
        <w:spacing w:line="600" w:lineRule="exact"/>
        <w:ind w:firstLine="643" w:firstLineChars="200"/>
        <w:rPr>
          <w:rFonts w:ascii="仿宋_GB2312" w:hAnsi="Times New Roman" w:eastAsia="仿宋_GB2312"/>
          <w:sz w:val="32"/>
          <w:szCs w:val="32"/>
        </w:rPr>
      </w:pPr>
      <w:r>
        <w:rPr>
          <w:rFonts w:hint="eastAsia" w:ascii="仿宋_GB2312" w:hAnsi="Times New Roman" w:eastAsia="仿宋_GB2312"/>
          <w:b/>
          <w:bCs/>
          <w:sz w:val="32"/>
          <w:szCs w:val="32"/>
        </w:rPr>
        <w:t>打造忠诚干净担当的高素质专业化干部队伍。</w:t>
      </w:r>
      <w:r>
        <w:rPr>
          <w:rFonts w:hint="eastAsia" w:ascii="仿宋_GB2312" w:hAnsi="Times New Roman" w:eastAsia="仿宋_GB2312"/>
          <w:sz w:val="32"/>
          <w:szCs w:val="32"/>
        </w:rPr>
        <w:t>全面贯彻新时代党的组织路线，落实好干部标准，坚持“知事识人、序事辨材”，切实把真心干事、善于干事、干净干事、能干成事的干部及时发现出来、使用起来。加强思想淬炼、政治历练、实践锻炼、专业训练，在重点工作、重大斗争第一线培养干部、锤炼干部。办好全市各级党校和深圳改革开放干部学院。推动干部队伍革命化、专业化、国际化，大力培养选拔使用“鲲鹏型”“狮子型”“拓荒牛型”干部，以战略眼光培育优秀年轻干部。落实好“三个区分开来”，健全容错纠错机制，加强对敢担当善作为干部的激励保护，推动形成能者上、优者奖、庸者下、劣者汰的正确导向。</w:t>
      </w:r>
    </w:p>
    <w:p>
      <w:pPr>
        <w:autoSpaceDE w:val="0"/>
        <w:autoSpaceDN w:val="0"/>
        <w:adjustRightInd w:val="0"/>
        <w:spacing w:line="600" w:lineRule="exact"/>
        <w:ind w:firstLine="643" w:firstLineChars="200"/>
        <w:rPr>
          <w:rFonts w:ascii="仿宋_GB2312" w:hAnsi="Times New Roman" w:eastAsia="仿宋_GB2312"/>
          <w:sz w:val="32"/>
          <w:szCs w:val="32"/>
        </w:rPr>
      </w:pPr>
      <w:r>
        <w:rPr>
          <w:rFonts w:hint="eastAsia" w:ascii="仿宋_GB2312" w:hAnsi="Times New Roman" w:eastAsia="仿宋_GB2312"/>
          <w:b/>
          <w:bCs/>
          <w:sz w:val="32"/>
          <w:szCs w:val="32"/>
        </w:rPr>
        <w:t>扎实推进中国特色社会主义先行示范区廉洁建设。</w:t>
      </w:r>
      <w:r>
        <w:rPr>
          <w:rFonts w:hint="eastAsia" w:ascii="仿宋_GB2312" w:hAnsi="Times New Roman" w:eastAsia="仿宋_GB2312"/>
          <w:sz w:val="32"/>
          <w:szCs w:val="32"/>
        </w:rPr>
        <w:t>不断完善监督体系，使监督融入“十四五”建设之中。强化政治监督，健全贯彻党中央重大决策部署督查问责机制，充分发挥纪检监察机关监督职能作用，促进广大党员干部讲担当、善作为、抓落实。坚持把完善权力运行和监督制约机制作为实施规划的基础性建设，注重以市场化改革放权、以制度建设限权、以大数据手段制权，通过改革和制度创新切断利益输送链条。把严的主基调长期坚持下去，持之以恒正风肃纪，严格落实中央八项规定及其实施细则精神，锲而不舍纠治“四风”，严肃查处顶风违纪行为，以优良党风政风带动社风民风。坚定不移惩治腐败，坚持无禁区、全覆盖、零容忍，一体推进不敢腐、不能腐、不想腐，推动全面从严治党向纵深发展。</w:t>
      </w:r>
    </w:p>
    <w:p>
      <w:pPr>
        <w:pStyle w:val="14"/>
        <w:spacing w:line="600" w:lineRule="exact"/>
      </w:pPr>
    </w:p>
    <w:p>
      <w:pPr>
        <w:spacing w:line="600" w:lineRule="exact"/>
        <w:jc w:val="center"/>
        <w:outlineLvl w:val="2"/>
        <w:rPr>
          <w:rFonts w:ascii="楷体" w:hAnsi="楷体" w:eastAsia="楷体" w:cs="楷体"/>
          <w:b/>
          <w:bCs/>
          <w:sz w:val="32"/>
          <w:szCs w:val="32"/>
        </w:rPr>
      </w:pPr>
      <w:bookmarkStart w:id="5840" w:name="_Toc7001"/>
      <w:bookmarkStart w:id="5841" w:name="_Toc3821"/>
      <w:bookmarkStart w:id="5842" w:name="_Toc25459"/>
      <w:bookmarkStart w:id="5843" w:name="_Toc256"/>
      <w:bookmarkStart w:id="5844" w:name="_Toc806"/>
      <w:bookmarkStart w:id="5845" w:name="_Toc32433"/>
      <w:bookmarkStart w:id="5846" w:name="_Toc8033"/>
      <w:bookmarkStart w:id="5847" w:name="_Toc15291"/>
      <w:bookmarkStart w:id="5848" w:name="_Toc764"/>
      <w:bookmarkStart w:id="5849" w:name="_Toc19188"/>
      <w:bookmarkStart w:id="5850" w:name="_Toc24431"/>
      <w:bookmarkStart w:id="5851" w:name="_Toc3484"/>
      <w:bookmarkStart w:id="5852" w:name="_Toc25341"/>
      <w:bookmarkStart w:id="5853" w:name="_Toc8103"/>
      <w:bookmarkStart w:id="5854" w:name="_Toc7858"/>
      <w:bookmarkStart w:id="5855" w:name="_Toc2616"/>
      <w:bookmarkStart w:id="5856" w:name="_Toc7908"/>
      <w:bookmarkStart w:id="5857" w:name="_Toc2793"/>
      <w:bookmarkStart w:id="5858" w:name="_Toc26073"/>
      <w:bookmarkStart w:id="5859" w:name="_Toc30700"/>
      <w:bookmarkStart w:id="5860" w:name="_Toc26864"/>
      <w:bookmarkStart w:id="5861" w:name="_Toc30290"/>
      <w:bookmarkStart w:id="5862" w:name="_Toc7232"/>
      <w:bookmarkStart w:id="5863" w:name="_Toc24573"/>
      <w:bookmarkStart w:id="5864" w:name="_Toc23732"/>
      <w:bookmarkStart w:id="5865" w:name="_Toc32344"/>
      <w:bookmarkStart w:id="5866" w:name="_Toc19020"/>
      <w:bookmarkStart w:id="5867" w:name="_Toc31719"/>
      <w:bookmarkStart w:id="5868" w:name="_Toc3056"/>
      <w:bookmarkStart w:id="5869" w:name="_Toc17033"/>
      <w:bookmarkStart w:id="5870" w:name="_Toc22325"/>
      <w:bookmarkStart w:id="5871" w:name="_Toc12993"/>
      <w:bookmarkStart w:id="5872" w:name="_Toc11955"/>
      <w:bookmarkStart w:id="5873" w:name="_Toc32133"/>
      <w:bookmarkStart w:id="5874" w:name="_Toc20787"/>
      <w:bookmarkStart w:id="5875" w:name="_Toc28128"/>
      <w:bookmarkStart w:id="5876" w:name="_Toc17184"/>
      <w:bookmarkStart w:id="5877" w:name="_Toc1470"/>
      <w:bookmarkStart w:id="5878" w:name="_Toc24772"/>
      <w:bookmarkStart w:id="5879" w:name="_Toc29815"/>
      <w:bookmarkStart w:id="5880" w:name="_Toc30946"/>
      <w:bookmarkStart w:id="5881" w:name="_Toc15535"/>
      <w:bookmarkStart w:id="5882" w:name="_Toc19409"/>
      <w:bookmarkStart w:id="5883" w:name="_Toc28757"/>
      <w:bookmarkStart w:id="5884" w:name="_Toc19706"/>
      <w:bookmarkStart w:id="5885" w:name="_Toc7178"/>
      <w:bookmarkStart w:id="5886" w:name="_Toc11090"/>
      <w:bookmarkStart w:id="5887" w:name="_Toc29655"/>
      <w:bookmarkStart w:id="5888" w:name="_Toc18523"/>
      <w:bookmarkStart w:id="5889" w:name="_Toc7364"/>
      <w:bookmarkStart w:id="5890" w:name="_Toc23909"/>
      <w:bookmarkStart w:id="5891" w:name="_Toc25927"/>
      <w:bookmarkStart w:id="5892" w:name="_Toc3228"/>
      <w:bookmarkStart w:id="5893" w:name="_Toc9284"/>
      <w:bookmarkStart w:id="5894" w:name="_Toc26002"/>
      <w:bookmarkStart w:id="5895" w:name="_Toc31213"/>
      <w:bookmarkStart w:id="5896" w:name="_Toc16703"/>
      <w:bookmarkStart w:id="5897" w:name="_Toc29951"/>
      <w:bookmarkStart w:id="5898" w:name="_Toc11893"/>
      <w:bookmarkStart w:id="5899" w:name="_Toc1113"/>
      <w:bookmarkStart w:id="5900" w:name="_Toc9549"/>
      <w:bookmarkStart w:id="5901" w:name="_Toc32200"/>
      <w:bookmarkStart w:id="5902" w:name="_Toc5842"/>
      <w:bookmarkStart w:id="5903" w:name="_Toc14626"/>
      <w:bookmarkStart w:id="5904" w:name="_Toc11063"/>
      <w:bookmarkStart w:id="5905" w:name="_Toc11964"/>
      <w:bookmarkStart w:id="5906" w:name="_Toc28397"/>
      <w:bookmarkStart w:id="5907" w:name="_Toc31537"/>
      <w:bookmarkStart w:id="5908" w:name="_Toc25045"/>
      <w:bookmarkStart w:id="5909" w:name="_Toc5733"/>
      <w:bookmarkStart w:id="5910" w:name="_Toc31158"/>
      <w:bookmarkStart w:id="5911" w:name="_Toc13975"/>
      <w:bookmarkStart w:id="5912" w:name="_Toc10560"/>
      <w:r>
        <w:rPr>
          <w:rFonts w:hint="eastAsia" w:ascii="楷体" w:hAnsi="楷体" w:eastAsia="楷体" w:cs="楷体"/>
          <w:b/>
          <w:bCs/>
          <w:sz w:val="32"/>
          <w:szCs w:val="32"/>
        </w:rPr>
        <w:t xml:space="preserve">第二节 </w:t>
      </w:r>
      <w:r>
        <w:fldChar w:fldCharType="begin"/>
      </w:r>
      <w:r>
        <w:instrText xml:space="preserve"> HYPERLINK \l "_Toc10368" </w:instrText>
      </w:r>
      <w:r>
        <w:fldChar w:fldCharType="separate"/>
      </w:r>
      <w:r>
        <w:rPr>
          <w:rFonts w:hint="eastAsia" w:ascii="楷体" w:hAnsi="楷体" w:eastAsia="楷体" w:cs="楷体"/>
          <w:b/>
          <w:bCs/>
          <w:sz w:val="32"/>
          <w:szCs w:val="32"/>
        </w:rPr>
        <w:t>完</w:t>
      </w:r>
      <w:r>
        <w:rPr>
          <w:rFonts w:hint="eastAsia" w:ascii="楷体" w:hAnsi="楷体" w:eastAsia="楷体" w:cs="楷体"/>
          <w:b/>
          <w:bCs/>
          <w:sz w:val="32"/>
          <w:szCs w:val="32"/>
        </w:rPr>
        <w:fldChar w:fldCharType="end"/>
      </w:r>
      <w:r>
        <w:rPr>
          <w:rFonts w:hint="eastAsia" w:ascii="楷体" w:hAnsi="楷体" w:eastAsia="楷体" w:cs="楷体"/>
          <w:b/>
          <w:bCs/>
          <w:sz w:val="32"/>
          <w:szCs w:val="32"/>
        </w:rPr>
        <w:t>善规划实施机制</w:t>
      </w:r>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p>
    <w:p>
      <w:pPr>
        <w:autoSpaceDE w:val="0"/>
        <w:autoSpaceDN w:val="0"/>
        <w:adjustRightInd w:val="0"/>
        <w:spacing w:line="60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sz w:val="32"/>
          <w:szCs w:val="32"/>
        </w:rPr>
        <w:t>更好发挥发展规划战略导向作用。</w:t>
      </w:r>
      <w:r>
        <w:rPr>
          <w:rFonts w:hint="eastAsia" w:ascii="仿宋_GB2312" w:hAnsi="仿宋_GB2312" w:eastAsia="仿宋_GB2312" w:cs="仿宋_GB2312"/>
          <w:kern w:val="0"/>
          <w:sz w:val="32"/>
          <w:szCs w:val="32"/>
        </w:rPr>
        <w:t>强化规划实施管理，建立以市发展规划为统领，以空间规划为基础，以专项规划、区域规划为支撑，由市、区两级规划共同组成，定位准确、边界清晰、功能互补、统一衔接的规划体系。各级政府、各部门制定专项规划、区域规划、各区规划、年度计划、审批核准重大项目、安排政府投资和财政支出预算、制定特定领域相关政策，要严格贯彻落实本规划的战略意图和主要任务，维护规划的严肃性和权威性。</w:t>
      </w:r>
    </w:p>
    <w:p>
      <w:pPr>
        <w:autoSpaceDE w:val="0"/>
        <w:autoSpaceDN w:val="0"/>
        <w:adjustRightInd w:val="0"/>
        <w:spacing w:line="60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sz w:val="32"/>
          <w:szCs w:val="32"/>
        </w:rPr>
        <w:t>构建发展规划和各类政策协调协同的实施机制。</w:t>
      </w:r>
      <w:r>
        <w:rPr>
          <w:rFonts w:hint="eastAsia" w:ascii="仿宋_GB2312" w:hAnsi="仿宋_GB2312" w:eastAsia="仿宋_GB2312" w:cs="仿宋_GB2312"/>
          <w:kern w:val="0"/>
          <w:sz w:val="32"/>
          <w:szCs w:val="32"/>
        </w:rPr>
        <w:t>加强财政预算与规划实施的衔接协调，全方位统筹政府资金资产资源，全面增强对国家和全市重大战略任务的财力保障。强化金融政策支撑作用，引导和鼓励各类金融机构重点支持市发展规划确定的重大战略、重大工程项目和重大改革举措。强化市发展规划对产业政策、区域政策等的引导约束作用，探索建立产业政策审查机制，制定产业政策要与市发展规划进行充分衔接。强化市级年度计划与市发展规划衔接，以年度计划的实施滚动落实发展规划。</w:t>
      </w:r>
    </w:p>
    <w:p>
      <w:pPr>
        <w:spacing w:line="600" w:lineRule="exact"/>
        <w:ind w:firstLine="643" w:firstLineChars="200"/>
        <w:rPr>
          <w:rFonts w:ascii="仿宋_GB2312" w:hAnsi="仿宋_GB2312" w:eastAsia="仿宋_GB2312" w:cs="仿宋_GB2312"/>
          <w:sz w:val="32"/>
          <w:szCs w:val="32"/>
        </w:rPr>
      </w:pPr>
      <w:r>
        <w:rPr>
          <w:rFonts w:hint="eastAsia" w:ascii="仿宋_GB2312" w:hAnsi="宋体" w:eastAsia="仿宋_GB2312" w:cs="宋体"/>
          <w:b/>
          <w:kern w:val="0"/>
          <w:sz w:val="32"/>
          <w:szCs w:val="32"/>
        </w:rPr>
        <w:t>明确规划实施责任。</w:t>
      </w:r>
      <w:r>
        <w:rPr>
          <w:rFonts w:hint="eastAsia" w:ascii="仿宋_GB2312" w:eastAsia="仿宋_GB2312"/>
          <w:sz w:val="32"/>
          <w:szCs w:val="32"/>
        </w:rPr>
        <w:t>市政府统一组织本规划的实施工作，制定规划实施方案，</w:t>
      </w:r>
      <w:r>
        <w:rPr>
          <w:rFonts w:hint="eastAsia" w:ascii="仿宋_GB2312" w:hAnsi="Times New Roman" w:eastAsia="仿宋_GB2312"/>
          <w:sz w:val="32"/>
          <w:szCs w:val="32"/>
        </w:rPr>
        <w:t>落实牵头单位和工作责任，明确实施进度和推进措施，</w:t>
      </w:r>
      <w:r>
        <w:rPr>
          <w:rFonts w:hint="eastAsia" w:ascii="仿宋_GB2312" w:eastAsia="仿宋_GB2312"/>
          <w:sz w:val="32"/>
          <w:szCs w:val="32"/>
        </w:rPr>
        <w:t>逐项落实目标任务。</w:t>
      </w:r>
      <w:r>
        <w:rPr>
          <w:rFonts w:hint="eastAsia" w:ascii="仿宋_GB2312" w:hAnsi="Times New Roman" w:eastAsia="仿宋_GB2312"/>
          <w:sz w:val="32"/>
          <w:szCs w:val="32"/>
        </w:rPr>
        <w:t>本规划提出的发展目标、重点任务和重大项目，应纳入年度计划，</w:t>
      </w:r>
      <w:r>
        <w:rPr>
          <w:rFonts w:hint="eastAsia" w:ascii="仿宋_GB2312" w:hAnsi="仿宋_GB2312" w:eastAsia="仿宋_GB2312" w:cs="仿宋_GB2312"/>
          <w:kern w:val="0"/>
          <w:sz w:val="32"/>
          <w:szCs w:val="32"/>
        </w:rPr>
        <w:t>合理设置年度目标，做好年度间的综合平衡，</w:t>
      </w:r>
      <w:r>
        <w:rPr>
          <w:rFonts w:hint="eastAsia" w:ascii="仿宋_GB2312" w:hAnsi="Times New Roman" w:eastAsia="仿宋_GB2312"/>
          <w:sz w:val="32"/>
          <w:szCs w:val="32"/>
        </w:rPr>
        <w:t>并分解到市有关部门和各区（新区、深汕特别合作区）。规划编制单位组织专项规划、各区规划的实施工作，</w:t>
      </w:r>
      <w:r>
        <w:rPr>
          <w:rFonts w:hint="eastAsia" w:ascii="仿宋_GB2312" w:eastAsia="仿宋_GB2312"/>
          <w:sz w:val="32"/>
          <w:szCs w:val="32"/>
        </w:rPr>
        <w:t>制定实施方案，</w:t>
      </w:r>
      <w:r>
        <w:rPr>
          <w:rFonts w:hint="eastAsia" w:ascii="仿宋_GB2312" w:hAnsi="Times New Roman" w:eastAsia="仿宋_GB2312"/>
          <w:sz w:val="32"/>
          <w:szCs w:val="32"/>
        </w:rPr>
        <w:t>明确进度要求和具体政策，确保规划目标任务有计划、按步骤得到落实。</w:t>
      </w:r>
    </w:p>
    <w:p>
      <w:pPr>
        <w:pStyle w:val="7"/>
        <w:spacing w:line="600" w:lineRule="exact"/>
        <w:ind w:left="2942"/>
      </w:pPr>
    </w:p>
    <w:p>
      <w:pPr>
        <w:spacing w:line="600" w:lineRule="exact"/>
        <w:jc w:val="center"/>
        <w:outlineLvl w:val="2"/>
        <w:rPr>
          <w:rFonts w:ascii="楷体" w:hAnsi="楷体" w:eastAsia="楷体" w:cs="楷体"/>
          <w:b/>
          <w:bCs/>
          <w:sz w:val="32"/>
          <w:szCs w:val="32"/>
        </w:rPr>
      </w:pPr>
      <w:bookmarkStart w:id="5913" w:name="_Toc18788"/>
      <w:bookmarkStart w:id="5914" w:name="_Toc11401"/>
      <w:bookmarkStart w:id="5915" w:name="_Toc8978"/>
      <w:bookmarkStart w:id="5916" w:name="_Toc19836"/>
      <w:bookmarkStart w:id="5917" w:name="_Toc1518"/>
      <w:bookmarkStart w:id="5918" w:name="_Toc22442"/>
      <w:bookmarkStart w:id="5919" w:name="_Toc22603"/>
      <w:bookmarkStart w:id="5920" w:name="_Toc5357"/>
      <w:bookmarkStart w:id="5921" w:name="_Toc5267"/>
      <w:bookmarkStart w:id="5922" w:name="_Toc12565"/>
      <w:bookmarkStart w:id="5923" w:name="_Toc7533"/>
      <w:bookmarkStart w:id="5924" w:name="_Toc19955"/>
      <w:bookmarkStart w:id="5925" w:name="_Toc10886"/>
      <w:bookmarkStart w:id="5926" w:name="_Toc13268"/>
      <w:bookmarkStart w:id="5927" w:name="_Toc7081"/>
      <w:bookmarkStart w:id="5928" w:name="_Toc22126"/>
      <w:bookmarkStart w:id="5929" w:name="_Toc8391"/>
      <w:bookmarkStart w:id="5930" w:name="_Toc31124"/>
      <w:bookmarkStart w:id="5931" w:name="_Toc13090"/>
      <w:bookmarkStart w:id="5932" w:name="_Toc8149"/>
      <w:bookmarkStart w:id="5933" w:name="_Toc22575"/>
      <w:bookmarkStart w:id="5934" w:name="_Toc2148"/>
      <w:bookmarkStart w:id="5935" w:name="_Toc8412"/>
      <w:bookmarkStart w:id="5936" w:name="_Toc15371"/>
      <w:bookmarkStart w:id="5937" w:name="_Toc9689"/>
      <w:bookmarkStart w:id="5938" w:name="_Toc9059"/>
      <w:bookmarkStart w:id="5939" w:name="_Toc6730"/>
      <w:bookmarkStart w:id="5940" w:name="_Toc18989"/>
      <w:bookmarkStart w:id="5941" w:name="_Toc20557"/>
      <w:bookmarkStart w:id="5942" w:name="_Toc10400"/>
      <w:bookmarkStart w:id="5943" w:name="_Toc24256"/>
      <w:bookmarkStart w:id="5944" w:name="_Toc31172"/>
      <w:bookmarkStart w:id="5945" w:name="_Toc3940"/>
      <w:bookmarkStart w:id="5946" w:name="_Toc18920"/>
      <w:bookmarkStart w:id="5947" w:name="_Toc780"/>
      <w:bookmarkStart w:id="5948" w:name="_Toc17200"/>
      <w:bookmarkStart w:id="5949" w:name="_Toc13331"/>
      <w:bookmarkStart w:id="5950" w:name="_Toc27689"/>
      <w:bookmarkStart w:id="5951" w:name="_Toc19828"/>
      <w:bookmarkStart w:id="5952" w:name="_Toc14721"/>
      <w:bookmarkStart w:id="5953" w:name="_Toc25627"/>
      <w:bookmarkStart w:id="5954" w:name="_Toc16987"/>
      <w:bookmarkStart w:id="5955" w:name="_Toc24948"/>
      <w:bookmarkStart w:id="5956" w:name="_Toc12112"/>
      <w:bookmarkStart w:id="5957" w:name="_Toc12554"/>
      <w:bookmarkStart w:id="5958" w:name="_Toc11225"/>
      <w:bookmarkStart w:id="5959" w:name="_Toc10686"/>
      <w:bookmarkStart w:id="5960" w:name="_Toc30497"/>
      <w:bookmarkStart w:id="5961" w:name="_Toc5943"/>
      <w:bookmarkStart w:id="5962" w:name="_Toc6709"/>
      <w:bookmarkStart w:id="5963" w:name="_Toc4319"/>
      <w:bookmarkStart w:id="5964" w:name="_Toc27598"/>
      <w:bookmarkStart w:id="5965" w:name="_Toc8216"/>
      <w:bookmarkStart w:id="5966" w:name="_Toc15589"/>
      <w:bookmarkStart w:id="5967" w:name="_Toc9334"/>
      <w:bookmarkStart w:id="5968" w:name="_Toc26980"/>
      <w:bookmarkStart w:id="5969" w:name="_Toc16887"/>
      <w:bookmarkStart w:id="5970" w:name="_Toc24658"/>
      <w:bookmarkStart w:id="5971" w:name="_Toc27363"/>
      <w:bookmarkStart w:id="5972" w:name="_Toc11002"/>
      <w:bookmarkStart w:id="5973" w:name="_Toc15656"/>
      <w:bookmarkStart w:id="5974" w:name="_Toc24886"/>
      <w:bookmarkStart w:id="5975" w:name="_Toc17305"/>
      <w:bookmarkStart w:id="5976" w:name="_Toc18160"/>
      <w:bookmarkStart w:id="5977" w:name="_Toc30498"/>
      <w:bookmarkStart w:id="5978" w:name="_Toc9490"/>
      <w:bookmarkStart w:id="5979" w:name="_Toc752"/>
      <w:bookmarkStart w:id="5980" w:name="_Toc25738"/>
      <w:bookmarkStart w:id="5981" w:name="_Toc29107"/>
      <w:bookmarkStart w:id="5982" w:name="_Toc27054"/>
      <w:bookmarkStart w:id="5983" w:name="_Toc26069"/>
      <w:bookmarkStart w:id="5984" w:name="_Toc25362"/>
      <w:bookmarkStart w:id="5985" w:name="_Toc5876"/>
      <w:r>
        <w:rPr>
          <w:rFonts w:hint="eastAsia" w:ascii="楷体" w:hAnsi="楷体" w:eastAsia="楷体" w:cs="楷体"/>
          <w:b/>
          <w:bCs/>
          <w:sz w:val="32"/>
          <w:szCs w:val="32"/>
        </w:rPr>
        <w:t xml:space="preserve">第三节 </w:t>
      </w:r>
      <w:r>
        <w:fldChar w:fldCharType="begin"/>
      </w:r>
      <w:r>
        <w:instrText xml:space="preserve"> HYPERLINK \l "_Toc10368" </w:instrText>
      </w:r>
      <w:r>
        <w:fldChar w:fldCharType="separate"/>
      </w:r>
      <w:r>
        <w:rPr>
          <w:rFonts w:hint="eastAsia" w:ascii="楷体" w:hAnsi="楷体" w:eastAsia="楷体" w:cs="楷体"/>
          <w:b/>
          <w:bCs/>
          <w:sz w:val="32"/>
          <w:szCs w:val="32"/>
        </w:rPr>
        <w:t>强</w:t>
      </w:r>
      <w:r>
        <w:rPr>
          <w:rFonts w:hint="eastAsia" w:ascii="楷体" w:hAnsi="楷体" w:eastAsia="楷体" w:cs="楷体"/>
          <w:b/>
          <w:bCs/>
          <w:sz w:val="32"/>
          <w:szCs w:val="32"/>
        </w:rPr>
        <w:fldChar w:fldCharType="end"/>
      </w:r>
      <w:r>
        <w:rPr>
          <w:rFonts w:hint="eastAsia" w:ascii="楷体" w:hAnsi="楷体" w:eastAsia="楷体" w:cs="楷体"/>
          <w:b/>
          <w:bCs/>
          <w:sz w:val="32"/>
          <w:szCs w:val="32"/>
        </w:rPr>
        <w:t>化规划项目支撑</w:t>
      </w:r>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p>
    <w:p>
      <w:pPr>
        <w:snapToGrid w:val="0"/>
        <w:spacing w:line="600" w:lineRule="exact"/>
        <w:ind w:firstLine="643" w:firstLineChars="200"/>
        <w:rPr>
          <w:sz w:val="32"/>
          <w:szCs w:val="32"/>
        </w:rPr>
      </w:pPr>
      <w:r>
        <w:rPr>
          <w:rFonts w:hint="eastAsia" w:ascii="仿宋_GB2312" w:hAnsi="Times New Roman" w:eastAsia="仿宋_GB2312"/>
          <w:b/>
          <w:bCs/>
          <w:sz w:val="32"/>
          <w:szCs w:val="32"/>
        </w:rPr>
        <w:t>强化重大项目实施载体作用。</w:t>
      </w:r>
      <w:r>
        <w:rPr>
          <w:rFonts w:hint="eastAsia" w:ascii="仿宋_GB2312" w:hAnsi="Times New Roman" w:eastAsia="仿宋_GB2312"/>
          <w:sz w:val="32"/>
          <w:szCs w:val="32"/>
        </w:rPr>
        <w:t>坚持以规划确定项目、以项目落实规划，组织实施好一批关系全局和长远发展的重大项目。围绕市发展规划的重大生产力布局谋划重大项目，强化年度重大项目计划与市发展规划的衔接，确保重大项目的空间分布和时序安排协调有序。</w:t>
      </w:r>
    </w:p>
    <w:p>
      <w:pPr>
        <w:snapToGrid w:val="0"/>
        <w:spacing w:line="600" w:lineRule="exact"/>
        <w:ind w:firstLine="643" w:firstLineChars="200"/>
        <w:rPr>
          <w:rFonts w:ascii="仿宋_GB2312" w:hAnsi="Times New Roman" w:eastAsia="仿宋_GB2312"/>
          <w:sz w:val="32"/>
          <w:szCs w:val="32"/>
        </w:rPr>
      </w:pPr>
      <w:r>
        <w:rPr>
          <w:rFonts w:hint="eastAsia" w:ascii="仿宋_GB2312" w:hAnsi="Times New Roman" w:eastAsia="仿宋_GB2312"/>
          <w:b/>
          <w:sz w:val="32"/>
          <w:szCs w:val="32"/>
        </w:rPr>
        <w:t>加强要素保障。</w:t>
      </w:r>
      <w:r>
        <w:rPr>
          <w:rFonts w:hint="eastAsia" w:ascii="仿宋_GB2312" w:hAnsi="Times New Roman" w:eastAsia="仿宋_GB2312"/>
          <w:sz w:val="32"/>
          <w:szCs w:val="32"/>
          <w:lang w:val="zh-CN"/>
        </w:rPr>
        <w:t>完善“项目跟着规划走、要素跟着项目走”投资保障机制，</w:t>
      </w:r>
      <w:r>
        <w:rPr>
          <w:rFonts w:hint="eastAsia" w:ascii="仿宋_GB2312" w:hAnsi="Times New Roman" w:eastAsia="仿宋_GB2312"/>
          <w:sz w:val="32"/>
          <w:szCs w:val="32"/>
        </w:rPr>
        <w:t>强化对重大项目的政策支持和资源要素保障。统筹安排财政资金，合理引导社会资本投向，鼓励银行等金融机构重点支持重大项目建设。加大土地等资源要素供给支持力度，优先保障重大项目用地、用林、用海、用能。</w:t>
      </w:r>
    </w:p>
    <w:p>
      <w:pPr>
        <w:snapToGrid w:val="0"/>
        <w:spacing w:line="600" w:lineRule="exact"/>
        <w:ind w:firstLine="643" w:firstLineChars="200"/>
        <w:rPr>
          <w:rFonts w:ascii="仿宋_GB2312" w:eastAsia="仿宋_GB2312"/>
          <w:sz w:val="32"/>
          <w:szCs w:val="32"/>
        </w:rPr>
      </w:pPr>
      <w:r>
        <w:rPr>
          <w:rFonts w:hint="eastAsia" w:ascii="仿宋_GB2312" w:hAnsi="Times New Roman" w:eastAsia="仿宋_GB2312"/>
          <w:b/>
          <w:sz w:val="32"/>
          <w:szCs w:val="32"/>
        </w:rPr>
        <w:t>加强重大项目管理。</w:t>
      </w:r>
      <w:r>
        <w:rPr>
          <w:rFonts w:hint="eastAsia" w:ascii="仿宋_GB2312" w:hAnsi="Times New Roman" w:eastAsia="仿宋_GB2312"/>
          <w:sz w:val="32"/>
          <w:szCs w:val="32"/>
        </w:rPr>
        <w:t>强化重大项目建设全过程管理，严格建设程序。完善重大项目储备机制，形成建设一批、竣工一批、启动一批、储备一批的滚动机制。</w:t>
      </w:r>
      <w:r>
        <w:rPr>
          <w:rFonts w:hint="eastAsia" w:ascii="仿宋_GB2312" w:eastAsia="仿宋_GB2312"/>
          <w:sz w:val="32"/>
          <w:szCs w:val="32"/>
        </w:rPr>
        <w:t>强化重大项目前期论证，完善重大项目联动协调机制，加快项目落地。</w:t>
      </w:r>
      <w:r>
        <w:rPr>
          <w:rFonts w:hint="eastAsia" w:ascii="仿宋_GB2312" w:hAnsi="Times New Roman" w:eastAsia="仿宋_GB2312"/>
          <w:sz w:val="32"/>
          <w:szCs w:val="32"/>
        </w:rPr>
        <w:t>健全政府投资管理制度，</w:t>
      </w:r>
      <w:r>
        <w:rPr>
          <w:rFonts w:hint="eastAsia" w:ascii="仿宋_GB2312" w:eastAsia="仿宋_GB2312"/>
          <w:sz w:val="32"/>
          <w:szCs w:val="32"/>
        </w:rPr>
        <w:t>强化项目监管，完善后评价制度。</w:t>
      </w:r>
    </w:p>
    <w:p>
      <w:pPr>
        <w:snapToGrid w:val="0"/>
        <w:spacing w:line="600" w:lineRule="exact"/>
        <w:ind w:firstLine="640" w:firstLineChars="200"/>
        <w:rPr>
          <w:rFonts w:ascii="仿宋_GB2312" w:eastAsia="仿宋_GB2312"/>
          <w:sz w:val="32"/>
          <w:szCs w:val="32"/>
        </w:rPr>
      </w:pPr>
    </w:p>
    <w:p>
      <w:pPr>
        <w:spacing w:line="600" w:lineRule="exact"/>
        <w:jc w:val="center"/>
        <w:outlineLvl w:val="2"/>
        <w:rPr>
          <w:rFonts w:ascii="楷体" w:hAnsi="楷体" w:eastAsia="楷体" w:cs="楷体"/>
          <w:b/>
          <w:bCs/>
          <w:sz w:val="32"/>
          <w:szCs w:val="32"/>
        </w:rPr>
      </w:pPr>
      <w:bookmarkStart w:id="5986" w:name="_Toc19584"/>
      <w:bookmarkStart w:id="5987" w:name="_Toc17673"/>
      <w:bookmarkStart w:id="5988" w:name="_Toc28265"/>
      <w:bookmarkStart w:id="5989" w:name="_Toc2314"/>
      <w:bookmarkStart w:id="5990" w:name="_Toc918"/>
      <w:bookmarkStart w:id="5991" w:name="_Toc26497"/>
      <w:bookmarkStart w:id="5992" w:name="_Toc21751"/>
      <w:bookmarkStart w:id="5993" w:name="_Toc7375"/>
      <w:bookmarkStart w:id="5994" w:name="_Toc13628"/>
      <w:bookmarkStart w:id="5995" w:name="_Toc5477"/>
      <w:bookmarkStart w:id="5996" w:name="_Toc8191"/>
      <w:bookmarkStart w:id="5997" w:name="_Toc11460"/>
      <w:bookmarkStart w:id="5998" w:name="_Toc25568"/>
      <w:bookmarkStart w:id="5999" w:name="_Toc19580"/>
      <w:bookmarkStart w:id="6000" w:name="_Toc9482"/>
      <w:bookmarkStart w:id="6001" w:name="_Toc19792"/>
      <w:bookmarkStart w:id="6002" w:name="_Toc20867"/>
      <w:bookmarkStart w:id="6003" w:name="_Toc6191"/>
      <w:bookmarkStart w:id="6004" w:name="_Toc12572"/>
      <w:bookmarkStart w:id="6005" w:name="_Toc27196"/>
      <w:bookmarkStart w:id="6006" w:name="_Toc1397"/>
      <w:bookmarkStart w:id="6007" w:name="_Toc3018"/>
      <w:bookmarkStart w:id="6008" w:name="_Toc12887"/>
      <w:bookmarkStart w:id="6009" w:name="_Toc16897"/>
      <w:bookmarkStart w:id="6010" w:name="_Toc32130"/>
      <w:bookmarkStart w:id="6011" w:name="_Toc29669"/>
      <w:bookmarkStart w:id="6012" w:name="_Toc23694"/>
      <w:bookmarkStart w:id="6013" w:name="_Toc3565"/>
      <w:bookmarkStart w:id="6014" w:name="_Toc4514"/>
      <w:bookmarkStart w:id="6015" w:name="_Toc3460"/>
      <w:bookmarkStart w:id="6016" w:name="_Toc31487"/>
      <w:bookmarkStart w:id="6017" w:name="_Toc14720"/>
      <w:bookmarkStart w:id="6018" w:name="_Toc23808"/>
      <w:bookmarkStart w:id="6019" w:name="_Toc27233"/>
      <w:bookmarkStart w:id="6020" w:name="_Toc23542"/>
      <w:bookmarkStart w:id="6021" w:name="_Toc4429"/>
      <w:bookmarkStart w:id="6022" w:name="_Toc25144"/>
      <w:bookmarkStart w:id="6023" w:name="_Toc2874"/>
      <w:bookmarkStart w:id="6024" w:name="_Toc19698"/>
      <w:bookmarkStart w:id="6025" w:name="_Toc10082"/>
      <w:bookmarkStart w:id="6026" w:name="_Toc3101"/>
      <w:bookmarkStart w:id="6027" w:name="_Toc24395"/>
      <w:bookmarkStart w:id="6028" w:name="_Toc2349"/>
      <w:bookmarkStart w:id="6029" w:name="_Toc19373"/>
      <w:bookmarkStart w:id="6030" w:name="_Toc2862"/>
      <w:bookmarkStart w:id="6031" w:name="_Toc4722"/>
      <w:bookmarkStart w:id="6032" w:name="_Toc668"/>
      <w:bookmarkStart w:id="6033" w:name="_Toc13749"/>
      <w:bookmarkStart w:id="6034" w:name="_Toc13039"/>
      <w:bookmarkStart w:id="6035" w:name="_Toc8467"/>
      <w:bookmarkStart w:id="6036" w:name="_Toc7809"/>
      <w:bookmarkStart w:id="6037" w:name="_Toc13287"/>
      <w:bookmarkStart w:id="6038" w:name="_Toc25329"/>
      <w:bookmarkStart w:id="6039" w:name="_Toc868"/>
      <w:bookmarkStart w:id="6040" w:name="_Toc3925"/>
      <w:bookmarkStart w:id="6041" w:name="_Toc19623"/>
      <w:bookmarkStart w:id="6042" w:name="_Toc26834"/>
      <w:bookmarkStart w:id="6043" w:name="_Toc31967"/>
      <w:bookmarkStart w:id="6044" w:name="_Toc22397"/>
      <w:bookmarkStart w:id="6045" w:name="_Toc26115"/>
      <w:bookmarkStart w:id="6046" w:name="_Toc18406"/>
      <w:bookmarkStart w:id="6047" w:name="_Toc5140"/>
      <w:bookmarkStart w:id="6048" w:name="_Toc2315"/>
      <w:bookmarkStart w:id="6049" w:name="_Toc29636"/>
      <w:bookmarkStart w:id="6050" w:name="_Toc28151"/>
      <w:bookmarkStart w:id="6051" w:name="_Toc8638"/>
      <w:bookmarkStart w:id="6052" w:name="_Toc29620"/>
      <w:bookmarkStart w:id="6053" w:name="_Toc12479"/>
      <w:bookmarkStart w:id="6054" w:name="_Toc20940"/>
      <w:bookmarkStart w:id="6055" w:name="_Toc15158"/>
      <w:bookmarkStart w:id="6056" w:name="_Toc23957"/>
      <w:bookmarkStart w:id="6057" w:name="_Toc1762"/>
      <w:bookmarkStart w:id="6058" w:name="_Toc31289"/>
      <w:r>
        <w:rPr>
          <w:rFonts w:hint="eastAsia" w:ascii="楷体" w:hAnsi="楷体" w:eastAsia="楷体" w:cs="楷体"/>
          <w:b/>
          <w:bCs/>
          <w:sz w:val="32"/>
          <w:szCs w:val="32"/>
        </w:rPr>
        <w:t>第四节 加强规划评估考核</w:t>
      </w:r>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p>
    <w:p>
      <w:pPr>
        <w:spacing w:line="600" w:lineRule="exact"/>
        <w:ind w:firstLine="643" w:firstLineChars="200"/>
        <w:rPr>
          <w:rFonts w:ascii="仿宋_GB2312" w:hAnsi="Times New Roman" w:eastAsia="仿宋_GB2312"/>
          <w:sz w:val="32"/>
          <w:szCs w:val="32"/>
        </w:rPr>
      </w:pPr>
      <w:r>
        <w:rPr>
          <w:rFonts w:hint="eastAsia" w:ascii="仿宋_GB2312" w:hAnsi="仿宋" w:eastAsia="仿宋_GB2312"/>
          <w:b/>
          <w:sz w:val="32"/>
          <w:szCs w:val="32"/>
        </w:rPr>
        <w:t>加强规划实施监测。</w:t>
      </w:r>
      <w:r>
        <w:rPr>
          <w:rFonts w:hint="eastAsia" w:ascii="仿宋_GB2312" w:hAnsi="Times New Roman" w:eastAsia="仿宋_GB2312"/>
          <w:sz w:val="32"/>
          <w:szCs w:val="32"/>
        </w:rPr>
        <w:t>开展对规划指标、政策措施和重大项目实施情况的跟踪监测分析</w:t>
      </w:r>
      <w:r>
        <w:rPr>
          <w:rFonts w:ascii="仿宋_GB2312" w:hAnsi="Times New Roman" w:eastAsia="仿宋_GB2312"/>
          <w:sz w:val="32"/>
          <w:szCs w:val="32"/>
        </w:rPr>
        <w:t>，</w:t>
      </w:r>
      <w:r>
        <w:rPr>
          <w:rFonts w:hint="eastAsia" w:ascii="仿宋_GB2312" w:hAnsi="Times New Roman" w:eastAsia="仿宋_GB2312"/>
          <w:sz w:val="32"/>
          <w:szCs w:val="32"/>
        </w:rPr>
        <w:t>强化动态管理</w:t>
      </w:r>
      <w:r>
        <w:rPr>
          <w:rFonts w:ascii="仿宋_GB2312" w:hAnsi="Times New Roman" w:eastAsia="仿宋_GB2312"/>
          <w:sz w:val="32"/>
          <w:szCs w:val="32"/>
        </w:rPr>
        <w:t>，</w:t>
      </w:r>
      <w:r>
        <w:rPr>
          <w:rFonts w:hint="eastAsia" w:ascii="仿宋_GB2312" w:hAnsi="Times New Roman" w:eastAsia="仿宋_GB2312"/>
          <w:sz w:val="32"/>
          <w:szCs w:val="32"/>
        </w:rPr>
        <w:t>提高规划实施效果。规划编制单位要加强对专项规划、各区规划、区域规划总体任务完成情况的监测，开展规划实施情况跟踪分析。强化指标约束，把约束性指标分解落实到市有关部门、各区（新区、深汕特别合作区），实行规划目标责任制。推进统计现代化改革，完善规划指标统计制度，研究制定现代化指标体系，加强对发展规模、速度、质量、结构、效益、安全等领域的统计分析。</w:t>
      </w:r>
    </w:p>
    <w:p>
      <w:pPr>
        <w:spacing w:line="600" w:lineRule="exact"/>
        <w:ind w:firstLine="643" w:firstLineChars="200"/>
        <w:rPr>
          <w:rFonts w:ascii="仿宋_GB2312" w:hAnsi="Times New Roman" w:eastAsia="仿宋_GB2312"/>
          <w:sz w:val="32"/>
          <w:szCs w:val="32"/>
        </w:rPr>
      </w:pPr>
      <w:r>
        <w:rPr>
          <w:rFonts w:hint="eastAsia" w:ascii="仿宋_GB2312" w:hAnsi="仿宋" w:eastAsia="仿宋_GB2312"/>
          <w:b/>
          <w:sz w:val="32"/>
          <w:szCs w:val="32"/>
        </w:rPr>
        <w:t>完善规划评估制度。</w:t>
      </w:r>
      <w:r>
        <w:rPr>
          <w:rFonts w:hint="eastAsia" w:ascii="仿宋_GB2312" w:hAnsi="Times New Roman" w:eastAsia="仿宋_GB2312"/>
          <w:sz w:val="32"/>
          <w:szCs w:val="32"/>
        </w:rPr>
        <w:t>开展规划年度监测分析、中期评估和总结评估，鼓励开展第三方评估和大数据评估，强化监测评估结果应用。强化规划权威性、严肃性，未经法定程序批准，不得随意调整更改各类规划。健全规划动态调整和修订机制，确需调整修订时，须按照新形势新要求调整完善规划内容后报原审批主体批准。</w:t>
      </w:r>
    </w:p>
    <w:p>
      <w:pPr>
        <w:snapToGrid w:val="0"/>
        <w:spacing w:line="600" w:lineRule="exact"/>
        <w:ind w:firstLine="643" w:firstLineChars="200"/>
        <w:rPr>
          <w:rFonts w:ascii="仿宋_GB2312" w:hAnsi="Times New Roman" w:eastAsia="仿宋_GB2312"/>
          <w:sz w:val="32"/>
          <w:szCs w:val="32"/>
        </w:rPr>
      </w:pPr>
      <w:r>
        <w:rPr>
          <w:rFonts w:hint="eastAsia" w:ascii="仿宋_GB2312" w:hAnsi="Times New Roman" w:eastAsia="仿宋_GB2312"/>
          <w:b/>
          <w:bCs/>
          <w:sz w:val="32"/>
          <w:szCs w:val="32"/>
        </w:rPr>
        <w:t>完善规划实施监督考核机制。</w:t>
      </w:r>
      <w:r>
        <w:rPr>
          <w:rFonts w:hint="eastAsia" w:ascii="仿宋_GB2312" w:eastAsia="仿宋_GB2312"/>
          <w:sz w:val="32"/>
          <w:szCs w:val="32"/>
        </w:rPr>
        <w:t>畅通监督渠道，</w:t>
      </w:r>
      <w:r>
        <w:rPr>
          <w:rFonts w:hint="eastAsia" w:ascii="仿宋_GB2312" w:hAnsi="Times New Roman" w:eastAsia="仿宋_GB2312"/>
          <w:sz w:val="32"/>
          <w:szCs w:val="32"/>
        </w:rPr>
        <w:t>及时公布规划实施进展，自觉接受人大监督、政协民主监督、审计监督和社会监督，</w:t>
      </w:r>
      <w:r>
        <w:rPr>
          <w:rFonts w:hint="eastAsia" w:ascii="仿宋_GB2312" w:eastAsia="仿宋_GB2312"/>
          <w:sz w:val="32"/>
          <w:szCs w:val="32"/>
        </w:rPr>
        <w:t>完善政府向人大、政协报告和沟通机制。规划</w:t>
      </w:r>
      <w:r>
        <w:rPr>
          <w:rFonts w:hint="eastAsia" w:ascii="仿宋_GB2312" w:hAnsi="Times New Roman" w:eastAsia="仿宋_GB2312"/>
          <w:sz w:val="32"/>
          <w:szCs w:val="32"/>
        </w:rPr>
        <w:t>实施情况纳入各有关部门和各区（新区、深汕特别合作区）领导班子、领导干部考核评价体系。</w:t>
      </w:r>
      <w:r>
        <w:rPr>
          <w:rFonts w:hint="eastAsia" w:ascii="仿宋_GB2312" w:eastAsia="仿宋_GB2312"/>
          <w:sz w:val="32"/>
          <w:szCs w:val="32"/>
        </w:rPr>
        <w:t>发挥社会各界对规划实施情况的监督作用，积极开展公众评价。</w:t>
      </w:r>
      <w:r>
        <w:rPr>
          <w:rFonts w:hint="eastAsia" w:ascii="仿宋_GB2312" w:hAnsi="Times New Roman" w:eastAsia="仿宋_GB2312"/>
          <w:sz w:val="32"/>
          <w:szCs w:val="32"/>
        </w:rPr>
        <w:t>加强规划宣传，增强公众对规划的认知、认可和认同，营造全社会共同参与和支持规划实施的良好氛围。</w:t>
      </w:r>
    </w:p>
    <w:p>
      <w:pPr>
        <w:snapToGrid w:val="0"/>
        <w:spacing w:line="600" w:lineRule="exact"/>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E-BZ">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浠垮畫">
    <w:altName w:val="微软雅黑"/>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25</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25</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78</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78</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124</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124</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rFonts w:ascii="仿宋" w:hAnsi="仿宋" w:eastAsia="仿宋" w:cs="仿宋"/>
        <w:b/>
        <w:bCs/>
        <w:sz w:val="30"/>
        <w:szCs w:val="3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rFonts w:ascii="仿宋" w:hAnsi="仿宋" w:eastAsia="仿宋" w:cs="仿宋"/>
        <w:b/>
        <w:bCs/>
        <w:sz w:val="30"/>
        <w:szCs w:val="3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rFonts w:ascii="仿宋" w:hAnsi="仿宋" w:eastAsia="仿宋" w:cs="仿宋"/>
        <w:b/>
        <w:bCs/>
        <w:sz w:val="30"/>
        <w:szCs w:val="3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rFonts w:ascii="仿宋" w:hAnsi="仿宋" w:eastAsia="仿宋" w:cs="仿宋"/>
        <w:b/>
        <w:bCs/>
        <w:sz w:val="30"/>
        <w:szCs w:val="3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65768"/>
    <w:multiLevelType w:val="singleLevel"/>
    <w:tmpl w:val="9BF65768"/>
    <w:lvl w:ilvl="0" w:tentative="0">
      <w:start w:val="1"/>
      <w:numFmt w:val="bullet"/>
      <w:lvlText w:val=""/>
      <w:lvlJc w:val="left"/>
      <w:pPr>
        <w:ind w:left="420" w:hanging="420"/>
      </w:pPr>
      <w:rPr>
        <w:rFonts w:hint="default" w:ascii="Wingdings" w:hAnsi="Wingdings"/>
      </w:rPr>
    </w:lvl>
  </w:abstractNum>
  <w:abstractNum w:abstractNumId="1">
    <w:nsid w:val="AD177D71"/>
    <w:multiLevelType w:val="singleLevel"/>
    <w:tmpl w:val="AD177D71"/>
    <w:lvl w:ilvl="0" w:tentative="0">
      <w:start w:val="1"/>
      <w:numFmt w:val="bullet"/>
      <w:lvlText w:val=""/>
      <w:lvlJc w:val="left"/>
      <w:pPr>
        <w:ind w:left="420" w:hanging="420"/>
      </w:pPr>
      <w:rPr>
        <w:rFonts w:hint="default" w:ascii="Wingdings" w:hAnsi="Wingdings"/>
      </w:rPr>
    </w:lvl>
  </w:abstractNum>
  <w:abstractNum w:abstractNumId="2">
    <w:nsid w:val="C0DE578A"/>
    <w:multiLevelType w:val="singleLevel"/>
    <w:tmpl w:val="C0DE578A"/>
    <w:lvl w:ilvl="0" w:tentative="0">
      <w:start w:val="1"/>
      <w:numFmt w:val="bullet"/>
      <w:lvlText w:val=""/>
      <w:lvlJc w:val="left"/>
      <w:pPr>
        <w:ind w:left="420" w:hanging="420"/>
      </w:pPr>
      <w:rPr>
        <w:rFonts w:hint="default" w:ascii="Wingdings" w:hAnsi="Wingdings"/>
      </w:rPr>
    </w:lvl>
  </w:abstractNum>
  <w:abstractNum w:abstractNumId="3">
    <w:nsid w:val="E37850AD"/>
    <w:multiLevelType w:val="singleLevel"/>
    <w:tmpl w:val="E37850AD"/>
    <w:lvl w:ilvl="0" w:tentative="0">
      <w:start w:val="1"/>
      <w:numFmt w:val="bullet"/>
      <w:lvlText w:val=""/>
      <w:lvlJc w:val="left"/>
      <w:pPr>
        <w:ind w:left="420" w:hanging="420"/>
      </w:pPr>
      <w:rPr>
        <w:rFonts w:hint="default" w:ascii="Wingdings" w:hAnsi="Wingdings"/>
      </w:rPr>
    </w:lvl>
  </w:abstractNum>
  <w:abstractNum w:abstractNumId="4">
    <w:nsid w:val="00000015"/>
    <w:multiLevelType w:val="multilevel"/>
    <w:tmpl w:val="00000015"/>
    <w:lvl w:ilvl="0" w:tentative="0">
      <w:start w:val="1"/>
      <w:numFmt w:val="bullet"/>
      <w:lvlText w:val=""/>
      <w:lvlJc w:val="left"/>
      <w:pPr>
        <w:ind w:left="420" w:hanging="420"/>
      </w:pPr>
      <w:rPr>
        <w:rFonts w:hint="default" w:ascii="Wingdings" w:hAnsi="Wingdings"/>
        <w:b w:val="0"/>
        <w:bCs/>
        <w:sz w:val="22"/>
        <w:szCs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22D067D1"/>
    <w:multiLevelType w:val="singleLevel"/>
    <w:tmpl w:val="22D067D1"/>
    <w:lvl w:ilvl="0" w:tentative="0">
      <w:start w:val="1"/>
      <w:numFmt w:val="bullet"/>
      <w:lvlText w:val=""/>
      <w:lvlJc w:val="left"/>
      <w:pPr>
        <w:ind w:left="420" w:hanging="420"/>
      </w:pPr>
      <w:rPr>
        <w:rFonts w:hint="default" w:ascii="Wingdings" w:hAnsi="Wingdings"/>
      </w:rPr>
    </w:lvl>
  </w:abstractNum>
  <w:abstractNum w:abstractNumId="6">
    <w:nsid w:val="683A2C28"/>
    <w:multiLevelType w:val="singleLevel"/>
    <w:tmpl w:val="683A2C28"/>
    <w:lvl w:ilvl="0" w:tentative="0">
      <w:start w:val="1"/>
      <w:numFmt w:val="bullet"/>
      <w:lvlText w:val=""/>
      <w:lvlJc w:val="left"/>
      <w:pPr>
        <w:ind w:left="420" w:hanging="420"/>
      </w:pPr>
      <w:rPr>
        <w:rFonts w:hint="default" w:ascii="Wingdings" w:hAnsi="Wingdings"/>
      </w:rPr>
    </w:lvl>
  </w:abstractNum>
  <w:num w:numId="1">
    <w:abstractNumId w:val="1"/>
  </w:num>
  <w:num w:numId="2">
    <w:abstractNumId w:val="5"/>
  </w:num>
  <w:num w:numId="3">
    <w:abstractNumId w:val="2"/>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hNWMxOTUyNTcwNjBiNTkwNGZlZGU1YjZmYzczM2QifQ=="/>
  </w:docVars>
  <w:rsids>
    <w:rsidRoot w:val="00172A27"/>
    <w:rsid w:val="00003A27"/>
    <w:rsid w:val="000040F9"/>
    <w:rsid w:val="000067F2"/>
    <w:rsid w:val="00006BA4"/>
    <w:rsid w:val="0000769D"/>
    <w:rsid w:val="000118E8"/>
    <w:rsid w:val="00013F23"/>
    <w:rsid w:val="00030A2F"/>
    <w:rsid w:val="00032A14"/>
    <w:rsid w:val="00032E4E"/>
    <w:rsid w:val="000334AE"/>
    <w:rsid w:val="0003548E"/>
    <w:rsid w:val="00035AE1"/>
    <w:rsid w:val="000419F7"/>
    <w:rsid w:val="0004694C"/>
    <w:rsid w:val="000537FC"/>
    <w:rsid w:val="00054836"/>
    <w:rsid w:val="00060716"/>
    <w:rsid w:val="00066A33"/>
    <w:rsid w:val="000748CE"/>
    <w:rsid w:val="000779F8"/>
    <w:rsid w:val="00096653"/>
    <w:rsid w:val="000A064D"/>
    <w:rsid w:val="000A0653"/>
    <w:rsid w:val="000A0E12"/>
    <w:rsid w:val="000A15B9"/>
    <w:rsid w:val="000A19F9"/>
    <w:rsid w:val="000A1BE9"/>
    <w:rsid w:val="000A6F2E"/>
    <w:rsid w:val="000A7F0F"/>
    <w:rsid w:val="000B4D0B"/>
    <w:rsid w:val="000B73AB"/>
    <w:rsid w:val="000B775C"/>
    <w:rsid w:val="000E3132"/>
    <w:rsid w:val="000E4743"/>
    <w:rsid w:val="000E677C"/>
    <w:rsid w:val="000F016D"/>
    <w:rsid w:val="000F25FF"/>
    <w:rsid w:val="000F3A5B"/>
    <w:rsid w:val="000F61E7"/>
    <w:rsid w:val="00100571"/>
    <w:rsid w:val="001010FE"/>
    <w:rsid w:val="001026F3"/>
    <w:rsid w:val="00104E56"/>
    <w:rsid w:val="00105474"/>
    <w:rsid w:val="00106D6D"/>
    <w:rsid w:val="00110C96"/>
    <w:rsid w:val="0011239B"/>
    <w:rsid w:val="00116BD2"/>
    <w:rsid w:val="001269BF"/>
    <w:rsid w:val="00133817"/>
    <w:rsid w:val="00144E33"/>
    <w:rsid w:val="00153F54"/>
    <w:rsid w:val="00154D0A"/>
    <w:rsid w:val="00156E17"/>
    <w:rsid w:val="0016352C"/>
    <w:rsid w:val="00172A27"/>
    <w:rsid w:val="00177B03"/>
    <w:rsid w:val="001811A4"/>
    <w:rsid w:val="00184373"/>
    <w:rsid w:val="001847AA"/>
    <w:rsid w:val="001863AA"/>
    <w:rsid w:val="001878CA"/>
    <w:rsid w:val="001964B1"/>
    <w:rsid w:val="001A2517"/>
    <w:rsid w:val="001C2AFB"/>
    <w:rsid w:val="001D16F4"/>
    <w:rsid w:val="001D728F"/>
    <w:rsid w:val="001D78C1"/>
    <w:rsid w:val="001E3935"/>
    <w:rsid w:val="001E5842"/>
    <w:rsid w:val="001E58D0"/>
    <w:rsid w:val="00206102"/>
    <w:rsid w:val="00207ECB"/>
    <w:rsid w:val="002112CB"/>
    <w:rsid w:val="00211417"/>
    <w:rsid w:val="002114B4"/>
    <w:rsid w:val="00213B1C"/>
    <w:rsid w:val="00213DDD"/>
    <w:rsid w:val="00214712"/>
    <w:rsid w:val="002165A5"/>
    <w:rsid w:val="00217094"/>
    <w:rsid w:val="00220F68"/>
    <w:rsid w:val="0022451A"/>
    <w:rsid w:val="00230F54"/>
    <w:rsid w:val="002353C6"/>
    <w:rsid w:val="00236DEB"/>
    <w:rsid w:val="00242AE1"/>
    <w:rsid w:val="00246C64"/>
    <w:rsid w:val="00252F0E"/>
    <w:rsid w:val="00260AD8"/>
    <w:rsid w:val="00260FAC"/>
    <w:rsid w:val="002617F7"/>
    <w:rsid w:val="00262F89"/>
    <w:rsid w:val="0027673A"/>
    <w:rsid w:val="002859D3"/>
    <w:rsid w:val="00286089"/>
    <w:rsid w:val="0029114C"/>
    <w:rsid w:val="00291D9A"/>
    <w:rsid w:val="002B4132"/>
    <w:rsid w:val="002B53E4"/>
    <w:rsid w:val="002C38A6"/>
    <w:rsid w:val="002C6CE1"/>
    <w:rsid w:val="002C7ABD"/>
    <w:rsid w:val="002C7EAD"/>
    <w:rsid w:val="002E2D8F"/>
    <w:rsid w:val="00304391"/>
    <w:rsid w:val="003044B9"/>
    <w:rsid w:val="00314688"/>
    <w:rsid w:val="003514C0"/>
    <w:rsid w:val="00352A5B"/>
    <w:rsid w:val="00367981"/>
    <w:rsid w:val="003921EE"/>
    <w:rsid w:val="003B7E0E"/>
    <w:rsid w:val="003C5321"/>
    <w:rsid w:val="003C6839"/>
    <w:rsid w:val="003D2C8E"/>
    <w:rsid w:val="003D365D"/>
    <w:rsid w:val="003D78B3"/>
    <w:rsid w:val="003E622C"/>
    <w:rsid w:val="00412632"/>
    <w:rsid w:val="00423A7E"/>
    <w:rsid w:val="00423C6D"/>
    <w:rsid w:val="00435B06"/>
    <w:rsid w:val="00437BA8"/>
    <w:rsid w:val="00440FAC"/>
    <w:rsid w:val="00443E07"/>
    <w:rsid w:val="004503A8"/>
    <w:rsid w:val="004574F3"/>
    <w:rsid w:val="004621B6"/>
    <w:rsid w:val="004802E1"/>
    <w:rsid w:val="00481899"/>
    <w:rsid w:val="0048590E"/>
    <w:rsid w:val="00491E3B"/>
    <w:rsid w:val="004A5F5A"/>
    <w:rsid w:val="004B51C7"/>
    <w:rsid w:val="004B76C9"/>
    <w:rsid w:val="004C197D"/>
    <w:rsid w:val="004C2371"/>
    <w:rsid w:val="004D6885"/>
    <w:rsid w:val="004F15BB"/>
    <w:rsid w:val="004F48F1"/>
    <w:rsid w:val="00506D1B"/>
    <w:rsid w:val="00517596"/>
    <w:rsid w:val="005242E3"/>
    <w:rsid w:val="00525B25"/>
    <w:rsid w:val="00533846"/>
    <w:rsid w:val="00533936"/>
    <w:rsid w:val="005341A9"/>
    <w:rsid w:val="00555257"/>
    <w:rsid w:val="00555577"/>
    <w:rsid w:val="005570B8"/>
    <w:rsid w:val="00565E60"/>
    <w:rsid w:val="00571845"/>
    <w:rsid w:val="00575124"/>
    <w:rsid w:val="005816CA"/>
    <w:rsid w:val="00587600"/>
    <w:rsid w:val="00587F27"/>
    <w:rsid w:val="00591D1E"/>
    <w:rsid w:val="0059432F"/>
    <w:rsid w:val="005A1DDE"/>
    <w:rsid w:val="005A5283"/>
    <w:rsid w:val="005B23DD"/>
    <w:rsid w:val="005B7583"/>
    <w:rsid w:val="005C1785"/>
    <w:rsid w:val="005C1956"/>
    <w:rsid w:val="005D22D7"/>
    <w:rsid w:val="005D4B0A"/>
    <w:rsid w:val="005E02F4"/>
    <w:rsid w:val="005F03EF"/>
    <w:rsid w:val="005F7BFC"/>
    <w:rsid w:val="00611351"/>
    <w:rsid w:val="00613DA8"/>
    <w:rsid w:val="006445DA"/>
    <w:rsid w:val="00644F3A"/>
    <w:rsid w:val="00646FDC"/>
    <w:rsid w:val="006471F6"/>
    <w:rsid w:val="0065071B"/>
    <w:rsid w:val="006524B5"/>
    <w:rsid w:val="006543C4"/>
    <w:rsid w:val="006556D1"/>
    <w:rsid w:val="00663E50"/>
    <w:rsid w:val="006673F4"/>
    <w:rsid w:val="00670EA1"/>
    <w:rsid w:val="00674480"/>
    <w:rsid w:val="00682450"/>
    <w:rsid w:val="006946BE"/>
    <w:rsid w:val="00696A5F"/>
    <w:rsid w:val="0069743B"/>
    <w:rsid w:val="00697BDA"/>
    <w:rsid w:val="006B52C9"/>
    <w:rsid w:val="006B6BCA"/>
    <w:rsid w:val="006B7982"/>
    <w:rsid w:val="006C14FE"/>
    <w:rsid w:val="006C1D42"/>
    <w:rsid w:val="006C6C1D"/>
    <w:rsid w:val="006C71DF"/>
    <w:rsid w:val="006D6367"/>
    <w:rsid w:val="006D6905"/>
    <w:rsid w:val="006E1059"/>
    <w:rsid w:val="006F1A7C"/>
    <w:rsid w:val="006F319D"/>
    <w:rsid w:val="006F3716"/>
    <w:rsid w:val="00711027"/>
    <w:rsid w:val="007121F8"/>
    <w:rsid w:val="007141C3"/>
    <w:rsid w:val="00714334"/>
    <w:rsid w:val="00715758"/>
    <w:rsid w:val="00715F7C"/>
    <w:rsid w:val="0072264B"/>
    <w:rsid w:val="00731783"/>
    <w:rsid w:val="0073440F"/>
    <w:rsid w:val="00734786"/>
    <w:rsid w:val="00737028"/>
    <w:rsid w:val="0074274C"/>
    <w:rsid w:val="0074378D"/>
    <w:rsid w:val="007604ED"/>
    <w:rsid w:val="0076219A"/>
    <w:rsid w:val="007665DC"/>
    <w:rsid w:val="007759F1"/>
    <w:rsid w:val="007A17F7"/>
    <w:rsid w:val="007A6F33"/>
    <w:rsid w:val="007A7946"/>
    <w:rsid w:val="007A79C2"/>
    <w:rsid w:val="007A7B3D"/>
    <w:rsid w:val="007C4CAB"/>
    <w:rsid w:val="007C7892"/>
    <w:rsid w:val="0080322A"/>
    <w:rsid w:val="00803798"/>
    <w:rsid w:val="008105A8"/>
    <w:rsid w:val="00814E55"/>
    <w:rsid w:val="00825244"/>
    <w:rsid w:val="008365C2"/>
    <w:rsid w:val="00841039"/>
    <w:rsid w:val="008466C2"/>
    <w:rsid w:val="008566A5"/>
    <w:rsid w:val="008612E6"/>
    <w:rsid w:val="008613F2"/>
    <w:rsid w:val="008641D0"/>
    <w:rsid w:val="00870933"/>
    <w:rsid w:val="00875754"/>
    <w:rsid w:val="008821ED"/>
    <w:rsid w:val="00893AF9"/>
    <w:rsid w:val="008951D2"/>
    <w:rsid w:val="00896CF0"/>
    <w:rsid w:val="008B0BBF"/>
    <w:rsid w:val="008B198A"/>
    <w:rsid w:val="008B40C9"/>
    <w:rsid w:val="008C1A17"/>
    <w:rsid w:val="008C45DC"/>
    <w:rsid w:val="008C7529"/>
    <w:rsid w:val="008D0388"/>
    <w:rsid w:val="008D64BF"/>
    <w:rsid w:val="008D64FA"/>
    <w:rsid w:val="008E50DE"/>
    <w:rsid w:val="008E6D12"/>
    <w:rsid w:val="008E738C"/>
    <w:rsid w:val="008F2127"/>
    <w:rsid w:val="008F3A63"/>
    <w:rsid w:val="008F5089"/>
    <w:rsid w:val="009010ED"/>
    <w:rsid w:val="00903A2F"/>
    <w:rsid w:val="00915E97"/>
    <w:rsid w:val="00920085"/>
    <w:rsid w:val="00921189"/>
    <w:rsid w:val="00922FBE"/>
    <w:rsid w:val="00925663"/>
    <w:rsid w:val="009258C3"/>
    <w:rsid w:val="00930F52"/>
    <w:rsid w:val="00931D3A"/>
    <w:rsid w:val="00931E20"/>
    <w:rsid w:val="009362E2"/>
    <w:rsid w:val="0094680E"/>
    <w:rsid w:val="00947AED"/>
    <w:rsid w:val="00974ADD"/>
    <w:rsid w:val="0098140F"/>
    <w:rsid w:val="009820E5"/>
    <w:rsid w:val="0099497D"/>
    <w:rsid w:val="00996D5C"/>
    <w:rsid w:val="00997E2B"/>
    <w:rsid w:val="009B5700"/>
    <w:rsid w:val="009D26C1"/>
    <w:rsid w:val="009D67E8"/>
    <w:rsid w:val="009E0FF5"/>
    <w:rsid w:val="009F09E7"/>
    <w:rsid w:val="00A05B9E"/>
    <w:rsid w:val="00A10B18"/>
    <w:rsid w:val="00A23A36"/>
    <w:rsid w:val="00A259E5"/>
    <w:rsid w:val="00A324A9"/>
    <w:rsid w:val="00A4149D"/>
    <w:rsid w:val="00A47205"/>
    <w:rsid w:val="00A56C7A"/>
    <w:rsid w:val="00A5783F"/>
    <w:rsid w:val="00A6240F"/>
    <w:rsid w:val="00A734AF"/>
    <w:rsid w:val="00A83D33"/>
    <w:rsid w:val="00A85FF2"/>
    <w:rsid w:val="00A910EB"/>
    <w:rsid w:val="00A940AC"/>
    <w:rsid w:val="00AB6C66"/>
    <w:rsid w:val="00AB6CC0"/>
    <w:rsid w:val="00AB707E"/>
    <w:rsid w:val="00AC0324"/>
    <w:rsid w:val="00AD0550"/>
    <w:rsid w:val="00AD2541"/>
    <w:rsid w:val="00AD2C9F"/>
    <w:rsid w:val="00AD570C"/>
    <w:rsid w:val="00AE4559"/>
    <w:rsid w:val="00B01CFD"/>
    <w:rsid w:val="00B0681B"/>
    <w:rsid w:val="00B15356"/>
    <w:rsid w:val="00B373D3"/>
    <w:rsid w:val="00B45C6A"/>
    <w:rsid w:val="00B558CC"/>
    <w:rsid w:val="00B71989"/>
    <w:rsid w:val="00B7546D"/>
    <w:rsid w:val="00B77466"/>
    <w:rsid w:val="00B81454"/>
    <w:rsid w:val="00B94E08"/>
    <w:rsid w:val="00BA50F1"/>
    <w:rsid w:val="00BA6A28"/>
    <w:rsid w:val="00BB0DC9"/>
    <w:rsid w:val="00BC6C8E"/>
    <w:rsid w:val="00BD275C"/>
    <w:rsid w:val="00BE0354"/>
    <w:rsid w:val="00BE3C1A"/>
    <w:rsid w:val="00BF15F5"/>
    <w:rsid w:val="00BF1BB3"/>
    <w:rsid w:val="00BF4CE6"/>
    <w:rsid w:val="00BF586B"/>
    <w:rsid w:val="00BF7601"/>
    <w:rsid w:val="00C069DE"/>
    <w:rsid w:val="00C16557"/>
    <w:rsid w:val="00C167D2"/>
    <w:rsid w:val="00C23E87"/>
    <w:rsid w:val="00C310B7"/>
    <w:rsid w:val="00C50906"/>
    <w:rsid w:val="00C51FE4"/>
    <w:rsid w:val="00C5595C"/>
    <w:rsid w:val="00C62EC0"/>
    <w:rsid w:val="00C646EA"/>
    <w:rsid w:val="00C81A57"/>
    <w:rsid w:val="00C820AE"/>
    <w:rsid w:val="00C8559F"/>
    <w:rsid w:val="00C85A5A"/>
    <w:rsid w:val="00C948CB"/>
    <w:rsid w:val="00CA05A7"/>
    <w:rsid w:val="00CA2212"/>
    <w:rsid w:val="00CA2CDA"/>
    <w:rsid w:val="00CB3C7F"/>
    <w:rsid w:val="00CD1778"/>
    <w:rsid w:val="00CD4AB7"/>
    <w:rsid w:val="00CD4AD7"/>
    <w:rsid w:val="00CE6FEB"/>
    <w:rsid w:val="00CF32EC"/>
    <w:rsid w:val="00CF5231"/>
    <w:rsid w:val="00D023EB"/>
    <w:rsid w:val="00D03047"/>
    <w:rsid w:val="00D04811"/>
    <w:rsid w:val="00D06E01"/>
    <w:rsid w:val="00D12919"/>
    <w:rsid w:val="00D16C05"/>
    <w:rsid w:val="00D235C0"/>
    <w:rsid w:val="00D23BA8"/>
    <w:rsid w:val="00D32784"/>
    <w:rsid w:val="00D444CA"/>
    <w:rsid w:val="00D46CFA"/>
    <w:rsid w:val="00D5196D"/>
    <w:rsid w:val="00D543BF"/>
    <w:rsid w:val="00D61D19"/>
    <w:rsid w:val="00D67152"/>
    <w:rsid w:val="00D8019D"/>
    <w:rsid w:val="00D8087E"/>
    <w:rsid w:val="00D8657C"/>
    <w:rsid w:val="00D8693F"/>
    <w:rsid w:val="00D93D7D"/>
    <w:rsid w:val="00D97B6F"/>
    <w:rsid w:val="00DA7D29"/>
    <w:rsid w:val="00DB48A6"/>
    <w:rsid w:val="00DB70F0"/>
    <w:rsid w:val="00DB7D19"/>
    <w:rsid w:val="00DC226C"/>
    <w:rsid w:val="00DD08BB"/>
    <w:rsid w:val="00DD0F29"/>
    <w:rsid w:val="00DD76A7"/>
    <w:rsid w:val="00DE0E56"/>
    <w:rsid w:val="00DF697E"/>
    <w:rsid w:val="00DF6AFA"/>
    <w:rsid w:val="00E05813"/>
    <w:rsid w:val="00E07A5E"/>
    <w:rsid w:val="00E14637"/>
    <w:rsid w:val="00E20D75"/>
    <w:rsid w:val="00E2417D"/>
    <w:rsid w:val="00E30545"/>
    <w:rsid w:val="00E341E2"/>
    <w:rsid w:val="00E403BB"/>
    <w:rsid w:val="00E440FE"/>
    <w:rsid w:val="00E464A8"/>
    <w:rsid w:val="00E60695"/>
    <w:rsid w:val="00E643C2"/>
    <w:rsid w:val="00E648BB"/>
    <w:rsid w:val="00E706E6"/>
    <w:rsid w:val="00E72F11"/>
    <w:rsid w:val="00E834D5"/>
    <w:rsid w:val="00EA5DE2"/>
    <w:rsid w:val="00EC31FD"/>
    <w:rsid w:val="00ED0364"/>
    <w:rsid w:val="00ED408B"/>
    <w:rsid w:val="00EE156C"/>
    <w:rsid w:val="00EE48CF"/>
    <w:rsid w:val="00EF6B29"/>
    <w:rsid w:val="00F07868"/>
    <w:rsid w:val="00F27E7E"/>
    <w:rsid w:val="00F319AE"/>
    <w:rsid w:val="00F31E52"/>
    <w:rsid w:val="00F31F3C"/>
    <w:rsid w:val="00F33279"/>
    <w:rsid w:val="00F33589"/>
    <w:rsid w:val="00F3481A"/>
    <w:rsid w:val="00F458EC"/>
    <w:rsid w:val="00F462F3"/>
    <w:rsid w:val="00F46ECA"/>
    <w:rsid w:val="00F57066"/>
    <w:rsid w:val="00F707C2"/>
    <w:rsid w:val="00F77273"/>
    <w:rsid w:val="00F933E0"/>
    <w:rsid w:val="00F95ED9"/>
    <w:rsid w:val="00F96852"/>
    <w:rsid w:val="00FB0673"/>
    <w:rsid w:val="00FB0742"/>
    <w:rsid w:val="00FB15E0"/>
    <w:rsid w:val="00FB4182"/>
    <w:rsid w:val="00FB7A0C"/>
    <w:rsid w:val="00FC0679"/>
    <w:rsid w:val="00FC20EC"/>
    <w:rsid w:val="00FC30F9"/>
    <w:rsid w:val="00FC4337"/>
    <w:rsid w:val="00FC4A84"/>
    <w:rsid w:val="00FD1C52"/>
    <w:rsid w:val="00FD44CF"/>
    <w:rsid w:val="00FD56A2"/>
    <w:rsid w:val="00FF7D1A"/>
    <w:rsid w:val="010E1B7A"/>
    <w:rsid w:val="01140675"/>
    <w:rsid w:val="011D2CB9"/>
    <w:rsid w:val="012409AB"/>
    <w:rsid w:val="012B6B5F"/>
    <w:rsid w:val="01343B77"/>
    <w:rsid w:val="013553B9"/>
    <w:rsid w:val="01383A16"/>
    <w:rsid w:val="0148610B"/>
    <w:rsid w:val="014967F8"/>
    <w:rsid w:val="015947C8"/>
    <w:rsid w:val="016663D6"/>
    <w:rsid w:val="016A560D"/>
    <w:rsid w:val="016B24E3"/>
    <w:rsid w:val="016F4567"/>
    <w:rsid w:val="01792653"/>
    <w:rsid w:val="017E755B"/>
    <w:rsid w:val="018731B5"/>
    <w:rsid w:val="018D6DEF"/>
    <w:rsid w:val="0197456E"/>
    <w:rsid w:val="019D7005"/>
    <w:rsid w:val="01B65C55"/>
    <w:rsid w:val="01C27816"/>
    <w:rsid w:val="01CC74F9"/>
    <w:rsid w:val="01D603AA"/>
    <w:rsid w:val="01DA5AD5"/>
    <w:rsid w:val="01E3795A"/>
    <w:rsid w:val="01F2688E"/>
    <w:rsid w:val="01FF2AD7"/>
    <w:rsid w:val="020A00B9"/>
    <w:rsid w:val="020B36D1"/>
    <w:rsid w:val="020B6140"/>
    <w:rsid w:val="02126832"/>
    <w:rsid w:val="022043DD"/>
    <w:rsid w:val="02262FA8"/>
    <w:rsid w:val="02275920"/>
    <w:rsid w:val="023D4BE8"/>
    <w:rsid w:val="024109CC"/>
    <w:rsid w:val="024A04E0"/>
    <w:rsid w:val="024F7889"/>
    <w:rsid w:val="025D2212"/>
    <w:rsid w:val="02654738"/>
    <w:rsid w:val="0265586E"/>
    <w:rsid w:val="02677C4A"/>
    <w:rsid w:val="026D1202"/>
    <w:rsid w:val="02783F90"/>
    <w:rsid w:val="027A4DF3"/>
    <w:rsid w:val="027A6A6E"/>
    <w:rsid w:val="028F2E7C"/>
    <w:rsid w:val="02922D53"/>
    <w:rsid w:val="029463A8"/>
    <w:rsid w:val="02947744"/>
    <w:rsid w:val="02A9491A"/>
    <w:rsid w:val="02AB0F1F"/>
    <w:rsid w:val="02AD56E6"/>
    <w:rsid w:val="02B52E54"/>
    <w:rsid w:val="02BB3361"/>
    <w:rsid w:val="02BC26EA"/>
    <w:rsid w:val="02C04A72"/>
    <w:rsid w:val="02C860CA"/>
    <w:rsid w:val="02C939E5"/>
    <w:rsid w:val="02CC0FCF"/>
    <w:rsid w:val="02FD1A8E"/>
    <w:rsid w:val="03045050"/>
    <w:rsid w:val="030830DF"/>
    <w:rsid w:val="032A54BD"/>
    <w:rsid w:val="032C4453"/>
    <w:rsid w:val="032D087E"/>
    <w:rsid w:val="03362671"/>
    <w:rsid w:val="034C683A"/>
    <w:rsid w:val="03502D90"/>
    <w:rsid w:val="036D379B"/>
    <w:rsid w:val="037526AD"/>
    <w:rsid w:val="037604AC"/>
    <w:rsid w:val="037C1B96"/>
    <w:rsid w:val="037F3D78"/>
    <w:rsid w:val="0397132B"/>
    <w:rsid w:val="03A24301"/>
    <w:rsid w:val="03A544E1"/>
    <w:rsid w:val="03A94590"/>
    <w:rsid w:val="03AC5470"/>
    <w:rsid w:val="03AD1D38"/>
    <w:rsid w:val="03C53B23"/>
    <w:rsid w:val="03C75777"/>
    <w:rsid w:val="03DD428A"/>
    <w:rsid w:val="03E23F22"/>
    <w:rsid w:val="03F32F76"/>
    <w:rsid w:val="03F374EB"/>
    <w:rsid w:val="03F56799"/>
    <w:rsid w:val="040278B3"/>
    <w:rsid w:val="040423E0"/>
    <w:rsid w:val="040753A8"/>
    <w:rsid w:val="04093244"/>
    <w:rsid w:val="041A34C4"/>
    <w:rsid w:val="041B100A"/>
    <w:rsid w:val="041C5BEF"/>
    <w:rsid w:val="042C0824"/>
    <w:rsid w:val="044C6A42"/>
    <w:rsid w:val="04535586"/>
    <w:rsid w:val="0456083B"/>
    <w:rsid w:val="04596D70"/>
    <w:rsid w:val="046048C7"/>
    <w:rsid w:val="046C3A46"/>
    <w:rsid w:val="0475545E"/>
    <w:rsid w:val="047C273F"/>
    <w:rsid w:val="04800BB6"/>
    <w:rsid w:val="04801B5B"/>
    <w:rsid w:val="04872C73"/>
    <w:rsid w:val="048C71DB"/>
    <w:rsid w:val="049754AA"/>
    <w:rsid w:val="04B72760"/>
    <w:rsid w:val="04C00EF8"/>
    <w:rsid w:val="04C127E9"/>
    <w:rsid w:val="04CE578F"/>
    <w:rsid w:val="04D50B0B"/>
    <w:rsid w:val="04DE4C1A"/>
    <w:rsid w:val="04EA1BE3"/>
    <w:rsid w:val="04EC7754"/>
    <w:rsid w:val="04EE24D8"/>
    <w:rsid w:val="04F92F71"/>
    <w:rsid w:val="05072E1A"/>
    <w:rsid w:val="050E6A08"/>
    <w:rsid w:val="052478C1"/>
    <w:rsid w:val="052913F5"/>
    <w:rsid w:val="052B3845"/>
    <w:rsid w:val="05324A60"/>
    <w:rsid w:val="05377749"/>
    <w:rsid w:val="05396DD0"/>
    <w:rsid w:val="053F6C6C"/>
    <w:rsid w:val="05440DE4"/>
    <w:rsid w:val="0547733B"/>
    <w:rsid w:val="054A0986"/>
    <w:rsid w:val="054B7711"/>
    <w:rsid w:val="055417E7"/>
    <w:rsid w:val="05592C72"/>
    <w:rsid w:val="05697C40"/>
    <w:rsid w:val="056C1FBE"/>
    <w:rsid w:val="056D58AB"/>
    <w:rsid w:val="05883D4B"/>
    <w:rsid w:val="05885D1D"/>
    <w:rsid w:val="058D43CB"/>
    <w:rsid w:val="05922ED5"/>
    <w:rsid w:val="0593625B"/>
    <w:rsid w:val="0595037F"/>
    <w:rsid w:val="05953272"/>
    <w:rsid w:val="05967E2F"/>
    <w:rsid w:val="059E2CDD"/>
    <w:rsid w:val="05A445BD"/>
    <w:rsid w:val="05B36CED"/>
    <w:rsid w:val="05BE0271"/>
    <w:rsid w:val="05BE5731"/>
    <w:rsid w:val="05C1017D"/>
    <w:rsid w:val="05CF5A3A"/>
    <w:rsid w:val="05D2393F"/>
    <w:rsid w:val="05D52CEC"/>
    <w:rsid w:val="05D713BE"/>
    <w:rsid w:val="05DC3975"/>
    <w:rsid w:val="05DC6DD2"/>
    <w:rsid w:val="05EA3201"/>
    <w:rsid w:val="05F02F84"/>
    <w:rsid w:val="05FA523B"/>
    <w:rsid w:val="05FD73DE"/>
    <w:rsid w:val="060973C8"/>
    <w:rsid w:val="060D510B"/>
    <w:rsid w:val="06143069"/>
    <w:rsid w:val="06191904"/>
    <w:rsid w:val="06273943"/>
    <w:rsid w:val="062763DE"/>
    <w:rsid w:val="062D3746"/>
    <w:rsid w:val="062F237B"/>
    <w:rsid w:val="062F4801"/>
    <w:rsid w:val="06300A9E"/>
    <w:rsid w:val="063646B2"/>
    <w:rsid w:val="06443467"/>
    <w:rsid w:val="06467D41"/>
    <w:rsid w:val="06510BB2"/>
    <w:rsid w:val="06590689"/>
    <w:rsid w:val="065B1348"/>
    <w:rsid w:val="066625C2"/>
    <w:rsid w:val="06794F70"/>
    <w:rsid w:val="067A7AA0"/>
    <w:rsid w:val="067F0D2B"/>
    <w:rsid w:val="06A27E20"/>
    <w:rsid w:val="06B62072"/>
    <w:rsid w:val="06B92005"/>
    <w:rsid w:val="06C05B4C"/>
    <w:rsid w:val="06C97B39"/>
    <w:rsid w:val="06DE10E5"/>
    <w:rsid w:val="06ED602D"/>
    <w:rsid w:val="06EF4B75"/>
    <w:rsid w:val="07105DD4"/>
    <w:rsid w:val="0712467C"/>
    <w:rsid w:val="072243CB"/>
    <w:rsid w:val="07271A09"/>
    <w:rsid w:val="073662CD"/>
    <w:rsid w:val="07391937"/>
    <w:rsid w:val="074777BF"/>
    <w:rsid w:val="074F494E"/>
    <w:rsid w:val="07733C5A"/>
    <w:rsid w:val="07827239"/>
    <w:rsid w:val="07827C31"/>
    <w:rsid w:val="078F1FFE"/>
    <w:rsid w:val="078F27D6"/>
    <w:rsid w:val="07AB5285"/>
    <w:rsid w:val="07B55F2B"/>
    <w:rsid w:val="07C87E05"/>
    <w:rsid w:val="07D57346"/>
    <w:rsid w:val="07F41A7C"/>
    <w:rsid w:val="07FC5540"/>
    <w:rsid w:val="08054210"/>
    <w:rsid w:val="0807776B"/>
    <w:rsid w:val="08195417"/>
    <w:rsid w:val="081D3D2D"/>
    <w:rsid w:val="081E46C4"/>
    <w:rsid w:val="08255FC4"/>
    <w:rsid w:val="082E573C"/>
    <w:rsid w:val="083270B6"/>
    <w:rsid w:val="08345D8F"/>
    <w:rsid w:val="08372E47"/>
    <w:rsid w:val="083B4FDE"/>
    <w:rsid w:val="08457CCA"/>
    <w:rsid w:val="084F2867"/>
    <w:rsid w:val="085634D5"/>
    <w:rsid w:val="085B5EA2"/>
    <w:rsid w:val="086028A3"/>
    <w:rsid w:val="086A11F4"/>
    <w:rsid w:val="086D4E56"/>
    <w:rsid w:val="087308C0"/>
    <w:rsid w:val="08732F7E"/>
    <w:rsid w:val="087C4429"/>
    <w:rsid w:val="08857BA9"/>
    <w:rsid w:val="088B6AF3"/>
    <w:rsid w:val="088D6E1E"/>
    <w:rsid w:val="088F3A5E"/>
    <w:rsid w:val="089C2CB7"/>
    <w:rsid w:val="089F5B54"/>
    <w:rsid w:val="08B919FA"/>
    <w:rsid w:val="08CE6ABE"/>
    <w:rsid w:val="08D90280"/>
    <w:rsid w:val="08DD7823"/>
    <w:rsid w:val="08E122D1"/>
    <w:rsid w:val="08EA1D05"/>
    <w:rsid w:val="08FE4331"/>
    <w:rsid w:val="0917014B"/>
    <w:rsid w:val="09272664"/>
    <w:rsid w:val="0927669F"/>
    <w:rsid w:val="092A40E4"/>
    <w:rsid w:val="093A51D8"/>
    <w:rsid w:val="09412E18"/>
    <w:rsid w:val="0942535B"/>
    <w:rsid w:val="094E0496"/>
    <w:rsid w:val="094E627C"/>
    <w:rsid w:val="095674C9"/>
    <w:rsid w:val="09593D7A"/>
    <w:rsid w:val="095B457A"/>
    <w:rsid w:val="097501F0"/>
    <w:rsid w:val="09842A26"/>
    <w:rsid w:val="09865040"/>
    <w:rsid w:val="0987768B"/>
    <w:rsid w:val="09913871"/>
    <w:rsid w:val="099C1634"/>
    <w:rsid w:val="09A05A50"/>
    <w:rsid w:val="09B1107E"/>
    <w:rsid w:val="09BD377F"/>
    <w:rsid w:val="09CE3CC1"/>
    <w:rsid w:val="09D4793E"/>
    <w:rsid w:val="09DC1F8D"/>
    <w:rsid w:val="09DD4E9C"/>
    <w:rsid w:val="09F51E79"/>
    <w:rsid w:val="09F9674F"/>
    <w:rsid w:val="0A115EF7"/>
    <w:rsid w:val="0A216275"/>
    <w:rsid w:val="0A23572B"/>
    <w:rsid w:val="0A2C4840"/>
    <w:rsid w:val="0A300040"/>
    <w:rsid w:val="0A331003"/>
    <w:rsid w:val="0A332ED6"/>
    <w:rsid w:val="0A3C02EB"/>
    <w:rsid w:val="0A3C52D7"/>
    <w:rsid w:val="0A3F55C8"/>
    <w:rsid w:val="0A402729"/>
    <w:rsid w:val="0A4054ED"/>
    <w:rsid w:val="0A4B250A"/>
    <w:rsid w:val="0A5105F5"/>
    <w:rsid w:val="0A5845CC"/>
    <w:rsid w:val="0A681F04"/>
    <w:rsid w:val="0A740183"/>
    <w:rsid w:val="0A810B71"/>
    <w:rsid w:val="0A88756B"/>
    <w:rsid w:val="0A8C3E81"/>
    <w:rsid w:val="0A9D3CA7"/>
    <w:rsid w:val="0AB14A24"/>
    <w:rsid w:val="0ABC2CDD"/>
    <w:rsid w:val="0ACE0DF0"/>
    <w:rsid w:val="0AE3207A"/>
    <w:rsid w:val="0AEC2BEF"/>
    <w:rsid w:val="0AFB1B6D"/>
    <w:rsid w:val="0AFD7C47"/>
    <w:rsid w:val="0B0D1AC0"/>
    <w:rsid w:val="0B15224E"/>
    <w:rsid w:val="0B181DA0"/>
    <w:rsid w:val="0B197219"/>
    <w:rsid w:val="0B1C7FE5"/>
    <w:rsid w:val="0B1E282A"/>
    <w:rsid w:val="0B2222DD"/>
    <w:rsid w:val="0B2C688E"/>
    <w:rsid w:val="0B2F1A54"/>
    <w:rsid w:val="0B310FE4"/>
    <w:rsid w:val="0B317E80"/>
    <w:rsid w:val="0B443E2A"/>
    <w:rsid w:val="0B5635DA"/>
    <w:rsid w:val="0B5C2618"/>
    <w:rsid w:val="0B5F1E7D"/>
    <w:rsid w:val="0B631E3E"/>
    <w:rsid w:val="0B77406A"/>
    <w:rsid w:val="0B791F17"/>
    <w:rsid w:val="0B8A30AE"/>
    <w:rsid w:val="0B8E4C00"/>
    <w:rsid w:val="0B966EAE"/>
    <w:rsid w:val="0BB353E1"/>
    <w:rsid w:val="0BD1321E"/>
    <w:rsid w:val="0BD211DE"/>
    <w:rsid w:val="0BD80178"/>
    <w:rsid w:val="0BE022E5"/>
    <w:rsid w:val="0BF873A9"/>
    <w:rsid w:val="0C2332D3"/>
    <w:rsid w:val="0C293D43"/>
    <w:rsid w:val="0C3650FE"/>
    <w:rsid w:val="0C382ABB"/>
    <w:rsid w:val="0C3833DE"/>
    <w:rsid w:val="0C4030F1"/>
    <w:rsid w:val="0C4651D7"/>
    <w:rsid w:val="0C477825"/>
    <w:rsid w:val="0C513DAE"/>
    <w:rsid w:val="0C515466"/>
    <w:rsid w:val="0C580767"/>
    <w:rsid w:val="0C614044"/>
    <w:rsid w:val="0C627B4E"/>
    <w:rsid w:val="0C675216"/>
    <w:rsid w:val="0C784DE2"/>
    <w:rsid w:val="0C865949"/>
    <w:rsid w:val="0C94336B"/>
    <w:rsid w:val="0C963EEC"/>
    <w:rsid w:val="0C980012"/>
    <w:rsid w:val="0CA05FAE"/>
    <w:rsid w:val="0CA13BDC"/>
    <w:rsid w:val="0CA17EB1"/>
    <w:rsid w:val="0CA22294"/>
    <w:rsid w:val="0CB215A0"/>
    <w:rsid w:val="0CB82B11"/>
    <w:rsid w:val="0CB96F00"/>
    <w:rsid w:val="0CBB2039"/>
    <w:rsid w:val="0CC66EC3"/>
    <w:rsid w:val="0CC778B9"/>
    <w:rsid w:val="0CCA1D36"/>
    <w:rsid w:val="0CD31C25"/>
    <w:rsid w:val="0CE07C27"/>
    <w:rsid w:val="0CE56ED4"/>
    <w:rsid w:val="0CE666A4"/>
    <w:rsid w:val="0CE723C9"/>
    <w:rsid w:val="0CE85A5B"/>
    <w:rsid w:val="0CE91EC7"/>
    <w:rsid w:val="0CEA6E74"/>
    <w:rsid w:val="0CEB6AD7"/>
    <w:rsid w:val="0CEE26BF"/>
    <w:rsid w:val="0CFD68DA"/>
    <w:rsid w:val="0CFF336D"/>
    <w:rsid w:val="0D00596A"/>
    <w:rsid w:val="0D011599"/>
    <w:rsid w:val="0D032538"/>
    <w:rsid w:val="0D0A3BA9"/>
    <w:rsid w:val="0D16399D"/>
    <w:rsid w:val="0D2448DA"/>
    <w:rsid w:val="0D2503B7"/>
    <w:rsid w:val="0D2E5EBC"/>
    <w:rsid w:val="0D3C3614"/>
    <w:rsid w:val="0D433361"/>
    <w:rsid w:val="0D520536"/>
    <w:rsid w:val="0D5D398A"/>
    <w:rsid w:val="0D5E6A53"/>
    <w:rsid w:val="0D647157"/>
    <w:rsid w:val="0D681000"/>
    <w:rsid w:val="0D694843"/>
    <w:rsid w:val="0D6E4952"/>
    <w:rsid w:val="0D7255F3"/>
    <w:rsid w:val="0D7423C5"/>
    <w:rsid w:val="0D763CF7"/>
    <w:rsid w:val="0D7B21A3"/>
    <w:rsid w:val="0D7D56F5"/>
    <w:rsid w:val="0D8B17CD"/>
    <w:rsid w:val="0D9204B9"/>
    <w:rsid w:val="0D951A37"/>
    <w:rsid w:val="0DA071B7"/>
    <w:rsid w:val="0DA7411F"/>
    <w:rsid w:val="0DAA48C4"/>
    <w:rsid w:val="0DB17BC8"/>
    <w:rsid w:val="0DB31CBE"/>
    <w:rsid w:val="0DB34FFE"/>
    <w:rsid w:val="0DC47D4C"/>
    <w:rsid w:val="0DC70CAD"/>
    <w:rsid w:val="0DE23114"/>
    <w:rsid w:val="0DE73730"/>
    <w:rsid w:val="0DEB6D30"/>
    <w:rsid w:val="0DEE4EDC"/>
    <w:rsid w:val="0DF279FE"/>
    <w:rsid w:val="0E004D94"/>
    <w:rsid w:val="0E0353D0"/>
    <w:rsid w:val="0E040961"/>
    <w:rsid w:val="0E1342A0"/>
    <w:rsid w:val="0E284094"/>
    <w:rsid w:val="0E3C0F4A"/>
    <w:rsid w:val="0E575347"/>
    <w:rsid w:val="0E5F1C0C"/>
    <w:rsid w:val="0E69605D"/>
    <w:rsid w:val="0E6B4A74"/>
    <w:rsid w:val="0E6B4F2D"/>
    <w:rsid w:val="0E6C5F74"/>
    <w:rsid w:val="0E6D0F1E"/>
    <w:rsid w:val="0E763FD0"/>
    <w:rsid w:val="0E7B2FF0"/>
    <w:rsid w:val="0E802C94"/>
    <w:rsid w:val="0E862737"/>
    <w:rsid w:val="0E8C26DC"/>
    <w:rsid w:val="0E915D0A"/>
    <w:rsid w:val="0E9540F7"/>
    <w:rsid w:val="0E9C0E99"/>
    <w:rsid w:val="0EB57D0C"/>
    <w:rsid w:val="0EBE16B4"/>
    <w:rsid w:val="0EBF2F06"/>
    <w:rsid w:val="0EC50A46"/>
    <w:rsid w:val="0ED15F27"/>
    <w:rsid w:val="0ED54832"/>
    <w:rsid w:val="0ED62E8F"/>
    <w:rsid w:val="0ED70FB7"/>
    <w:rsid w:val="0ED921D4"/>
    <w:rsid w:val="0ED92825"/>
    <w:rsid w:val="0EE11728"/>
    <w:rsid w:val="0EF41149"/>
    <w:rsid w:val="0EFA1860"/>
    <w:rsid w:val="0EFE558A"/>
    <w:rsid w:val="0F0108B4"/>
    <w:rsid w:val="0F086DD9"/>
    <w:rsid w:val="0F0F2B48"/>
    <w:rsid w:val="0F1713B6"/>
    <w:rsid w:val="0F1A31F4"/>
    <w:rsid w:val="0F207FF6"/>
    <w:rsid w:val="0F2569AC"/>
    <w:rsid w:val="0F2A0EAF"/>
    <w:rsid w:val="0F2E76B4"/>
    <w:rsid w:val="0F303382"/>
    <w:rsid w:val="0F3548A5"/>
    <w:rsid w:val="0F371E5D"/>
    <w:rsid w:val="0F3B3680"/>
    <w:rsid w:val="0F421D61"/>
    <w:rsid w:val="0F44352B"/>
    <w:rsid w:val="0F480432"/>
    <w:rsid w:val="0F4F4B3F"/>
    <w:rsid w:val="0F53627F"/>
    <w:rsid w:val="0F64350C"/>
    <w:rsid w:val="0F7050FF"/>
    <w:rsid w:val="0F731AEE"/>
    <w:rsid w:val="0F863D2E"/>
    <w:rsid w:val="0F87727D"/>
    <w:rsid w:val="0F8B36E5"/>
    <w:rsid w:val="0F95193B"/>
    <w:rsid w:val="0F956712"/>
    <w:rsid w:val="0F9822BF"/>
    <w:rsid w:val="0F9B2B7F"/>
    <w:rsid w:val="0F9F1F37"/>
    <w:rsid w:val="0FA071BA"/>
    <w:rsid w:val="0FB83AF2"/>
    <w:rsid w:val="0FB93BBB"/>
    <w:rsid w:val="0FBA1C09"/>
    <w:rsid w:val="0FBC16C0"/>
    <w:rsid w:val="0FBD39B3"/>
    <w:rsid w:val="0FC066CC"/>
    <w:rsid w:val="0FC35BBD"/>
    <w:rsid w:val="0FD51B4A"/>
    <w:rsid w:val="0FD75CCA"/>
    <w:rsid w:val="0FF307E7"/>
    <w:rsid w:val="0FFC0F81"/>
    <w:rsid w:val="0FFE3F06"/>
    <w:rsid w:val="10063A6C"/>
    <w:rsid w:val="100B57A0"/>
    <w:rsid w:val="100D22BE"/>
    <w:rsid w:val="10107A7A"/>
    <w:rsid w:val="101D6BD9"/>
    <w:rsid w:val="10245BAC"/>
    <w:rsid w:val="103243FC"/>
    <w:rsid w:val="104518C9"/>
    <w:rsid w:val="104D4DEA"/>
    <w:rsid w:val="104E2C93"/>
    <w:rsid w:val="10710FF4"/>
    <w:rsid w:val="10722A73"/>
    <w:rsid w:val="10780759"/>
    <w:rsid w:val="10852C9C"/>
    <w:rsid w:val="10853842"/>
    <w:rsid w:val="10924B21"/>
    <w:rsid w:val="109C2482"/>
    <w:rsid w:val="109D7694"/>
    <w:rsid w:val="10A038EF"/>
    <w:rsid w:val="10BC1077"/>
    <w:rsid w:val="10BC4ED2"/>
    <w:rsid w:val="10BF5FE5"/>
    <w:rsid w:val="10D03421"/>
    <w:rsid w:val="10D3376A"/>
    <w:rsid w:val="10DA608F"/>
    <w:rsid w:val="10E9639D"/>
    <w:rsid w:val="10EB6F46"/>
    <w:rsid w:val="10EC0856"/>
    <w:rsid w:val="10F5382F"/>
    <w:rsid w:val="10F764CE"/>
    <w:rsid w:val="10FA1B0B"/>
    <w:rsid w:val="10FD2D69"/>
    <w:rsid w:val="11135CEA"/>
    <w:rsid w:val="111405E3"/>
    <w:rsid w:val="11166F25"/>
    <w:rsid w:val="11200FA3"/>
    <w:rsid w:val="112A4C04"/>
    <w:rsid w:val="112F6C61"/>
    <w:rsid w:val="11322A0C"/>
    <w:rsid w:val="11392B2A"/>
    <w:rsid w:val="113A61CC"/>
    <w:rsid w:val="114074A6"/>
    <w:rsid w:val="114761C4"/>
    <w:rsid w:val="115C62CF"/>
    <w:rsid w:val="115D5447"/>
    <w:rsid w:val="116F4B45"/>
    <w:rsid w:val="11704A44"/>
    <w:rsid w:val="11846CFF"/>
    <w:rsid w:val="11847B80"/>
    <w:rsid w:val="11931BCF"/>
    <w:rsid w:val="11971782"/>
    <w:rsid w:val="119771E8"/>
    <w:rsid w:val="11993D96"/>
    <w:rsid w:val="11A85EE4"/>
    <w:rsid w:val="11D936D3"/>
    <w:rsid w:val="11DE1790"/>
    <w:rsid w:val="11EA0F96"/>
    <w:rsid w:val="11FA73D8"/>
    <w:rsid w:val="11FB06F0"/>
    <w:rsid w:val="11FF4DB8"/>
    <w:rsid w:val="121A2EBF"/>
    <w:rsid w:val="122F50CE"/>
    <w:rsid w:val="12357CE9"/>
    <w:rsid w:val="12366A05"/>
    <w:rsid w:val="124D4A7C"/>
    <w:rsid w:val="124F7C87"/>
    <w:rsid w:val="1254065B"/>
    <w:rsid w:val="12565BD4"/>
    <w:rsid w:val="125C63D7"/>
    <w:rsid w:val="12606D07"/>
    <w:rsid w:val="12707C28"/>
    <w:rsid w:val="127B12D5"/>
    <w:rsid w:val="127E0EA6"/>
    <w:rsid w:val="129014AC"/>
    <w:rsid w:val="12964C4D"/>
    <w:rsid w:val="12A013CE"/>
    <w:rsid w:val="12A15FF3"/>
    <w:rsid w:val="12A34D51"/>
    <w:rsid w:val="12A40941"/>
    <w:rsid w:val="12A81F8C"/>
    <w:rsid w:val="12AA7AED"/>
    <w:rsid w:val="12AC1652"/>
    <w:rsid w:val="12B058FD"/>
    <w:rsid w:val="12B13171"/>
    <w:rsid w:val="12B834BB"/>
    <w:rsid w:val="12C166D2"/>
    <w:rsid w:val="12C73DF8"/>
    <w:rsid w:val="12C83491"/>
    <w:rsid w:val="12CA1049"/>
    <w:rsid w:val="12D178FB"/>
    <w:rsid w:val="12D31545"/>
    <w:rsid w:val="12D8757F"/>
    <w:rsid w:val="12DE653F"/>
    <w:rsid w:val="12E10987"/>
    <w:rsid w:val="12E13671"/>
    <w:rsid w:val="12F45CF2"/>
    <w:rsid w:val="12FA3FE6"/>
    <w:rsid w:val="12FB795F"/>
    <w:rsid w:val="12FC014B"/>
    <w:rsid w:val="132B6027"/>
    <w:rsid w:val="13355E07"/>
    <w:rsid w:val="133F5435"/>
    <w:rsid w:val="1348145B"/>
    <w:rsid w:val="134F2046"/>
    <w:rsid w:val="134F4BE7"/>
    <w:rsid w:val="1352520D"/>
    <w:rsid w:val="1361057B"/>
    <w:rsid w:val="13690990"/>
    <w:rsid w:val="136A3CAF"/>
    <w:rsid w:val="136D133F"/>
    <w:rsid w:val="137F3F8E"/>
    <w:rsid w:val="138A0872"/>
    <w:rsid w:val="13927D13"/>
    <w:rsid w:val="13A32519"/>
    <w:rsid w:val="13A404BF"/>
    <w:rsid w:val="13AA6DE2"/>
    <w:rsid w:val="13BD0DFE"/>
    <w:rsid w:val="13BF2F41"/>
    <w:rsid w:val="13CF2636"/>
    <w:rsid w:val="13D33CCC"/>
    <w:rsid w:val="13DC0224"/>
    <w:rsid w:val="13F41D71"/>
    <w:rsid w:val="13F84D92"/>
    <w:rsid w:val="1407301E"/>
    <w:rsid w:val="140C58BA"/>
    <w:rsid w:val="14141D4A"/>
    <w:rsid w:val="142C6B56"/>
    <w:rsid w:val="14347D84"/>
    <w:rsid w:val="144E3F1B"/>
    <w:rsid w:val="145665A2"/>
    <w:rsid w:val="14567065"/>
    <w:rsid w:val="1463543E"/>
    <w:rsid w:val="146E5934"/>
    <w:rsid w:val="147820F4"/>
    <w:rsid w:val="148E3B30"/>
    <w:rsid w:val="149C07AF"/>
    <w:rsid w:val="14A97E02"/>
    <w:rsid w:val="14AA0165"/>
    <w:rsid w:val="14B01E5F"/>
    <w:rsid w:val="14B416E3"/>
    <w:rsid w:val="14BB3DFF"/>
    <w:rsid w:val="14BD5D53"/>
    <w:rsid w:val="14C64507"/>
    <w:rsid w:val="14D533AA"/>
    <w:rsid w:val="14DC3491"/>
    <w:rsid w:val="14DF7CEC"/>
    <w:rsid w:val="14F8508E"/>
    <w:rsid w:val="150F7FB4"/>
    <w:rsid w:val="151059F3"/>
    <w:rsid w:val="1517612F"/>
    <w:rsid w:val="151E69D8"/>
    <w:rsid w:val="15222F7C"/>
    <w:rsid w:val="1523238C"/>
    <w:rsid w:val="15234823"/>
    <w:rsid w:val="152D0D70"/>
    <w:rsid w:val="15466666"/>
    <w:rsid w:val="154C3491"/>
    <w:rsid w:val="155748C4"/>
    <w:rsid w:val="155A1F04"/>
    <w:rsid w:val="155A7246"/>
    <w:rsid w:val="15657E36"/>
    <w:rsid w:val="157B52A9"/>
    <w:rsid w:val="1588302E"/>
    <w:rsid w:val="15905709"/>
    <w:rsid w:val="15962A80"/>
    <w:rsid w:val="15A2688A"/>
    <w:rsid w:val="15A268CC"/>
    <w:rsid w:val="15B9075C"/>
    <w:rsid w:val="15C25891"/>
    <w:rsid w:val="15C261E2"/>
    <w:rsid w:val="15C669B8"/>
    <w:rsid w:val="15C81A15"/>
    <w:rsid w:val="15C82FEE"/>
    <w:rsid w:val="15CD0DB8"/>
    <w:rsid w:val="15D27241"/>
    <w:rsid w:val="15E3056D"/>
    <w:rsid w:val="15E93B7B"/>
    <w:rsid w:val="15F22455"/>
    <w:rsid w:val="15F7514B"/>
    <w:rsid w:val="15F86FC2"/>
    <w:rsid w:val="15F96EE7"/>
    <w:rsid w:val="160233AE"/>
    <w:rsid w:val="160407FE"/>
    <w:rsid w:val="1604493F"/>
    <w:rsid w:val="16072F44"/>
    <w:rsid w:val="16192DB6"/>
    <w:rsid w:val="161D0561"/>
    <w:rsid w:val="161E608A"/>
    <w:rsid w:val="162D5316"/>
    <w:rsid w:val="162E3933"/>
    <w:rsid w:val="16344E2A"/>
    <w:rsid w:val="163A32A5"/>
    <w:rsid w:val="163D0378"/>
    <w:rsid w:val="16430E19"/>
    <w:rsid w:val="164A482B"/>
    <w:rsid w:val="16515666"/>
    <w:rsid w:val="165929AD"/>
    <w:rsid w:val="16702AA6"/>
    <w:rsid w:val="167342D5"/>
    <w:rsid w:val="16795509"/>
    <w:rsid w:val="167C7629"/>
    <w:rsid w:val="1687401E"/>
    <w:rsid w:val="168B74AC"/>
    <w:rsid w:val="168F5EBF"/>
    <w:rsid w:val="16962EC6"/>
    <w:rsid w:val="169A500B"/>
    <w:rsid w:val="169A796D"/>
    <w:rsid w:val="169D3D78"/>
    <w:rsid w:val="16A80F28"/>
    <w:rsid w:val="16B21AC9"/>
    <w:rsid w:val="16B426CF"/>
    <w:rsid w:val="16D470B9"/>
    <w:rsid w:val="16D50C84"/>
    <w:rsid w:val="16D7262F"/>
    <w:rsid w:val="16DB372D"/>
    <w:rsid w:val="16EC1371"/>
    <w:rsid w:val="170406E6"/>
    <w:rsid w:val="17133CD8"/>
    <w:rsid w:val="171E4989"/>
    <w:rsid w:val="173162FD"/>
    <w:rsid w:val="17351620"/>
    <w:rsid w:val="1737677F"/>
    <w:rsid w:val="173C3679"/>
    <w:rsid w:val="1740185B"/>
    <w:rsid w:val="1754140B"/>
    <w:rsid w:val="17583B03"/>
    <w:rsid w:val="175A3A47"/>
    <w:rsid w:val="176D51A1"/>
    <w:rsid w:val="17735B7D"/>
    <w:rsid w:val="177C0BAB"/>
    <w:rsid w:val="177E71BD"/>
    <w:rsid w:val="178445B8"/>
    <w:rsid w:val="178F094F"/>
    <w:rsid w:val="178F637B"/>
    <w:rsid w:val="17903C51"/>
    <w:rsid w:val="1792430B"/>
    <w:rsid w:val="17955D70"/>
    <w:rsid w:val="179E7198"/>
    <w:rsid w:val="17A36AF1"/>
    <w:rsid w:val="17A63352"/>
    <w:rsid w:val="17BF07FC"/>
    <w:rsid w:val="17C0299C"/>
    <w:rsid w:val="17C24B02"/>
    <w:rsid w:val="17C843DA"/>
    <w:rsid w:val="17CC6D65"/>
    <w:rsid w:val="17D171EF"/>
    <w:rsid w:val="17D20BD7"/>
    <w:rsid w:val="17E66AA3"/>
    <w:rsid w:val="17E72C90"/>
    <w:rsid w:val="17EF089C"/>
    <w:rsid w:val="17F259E5"/>
    <w:rsid w:val="17F9375F"/>
    <w:rsid w:val="18033EF9"/>
    <w:rsid w:val="181B32D3"/>
    <w:rsid w:val="181C0D99"/>
    <w:rsid w:val="182127AA"/>
    <w:rsid w:val="18244001"/>
    <w:rsid w:val="18265E10"/>
    <w:rsid w:val="18275946"/>
    <w:rsid w:val="182D3794"/>
    <w:rsid w:val="182E1FC9"/>
    <w:rsid w:val="18305668"/>
    <w:rsid w:val="183443E3"/>
    <w:rsid w:val="183A0C2F"/>
    <w:rsid w:val="183D6F65"/>
    <w:rsid w:val="18456CE4"/>
    <w:rsid w:val="18475EE6"/>
    <w:rsid w:val="18495AEE"/>
    <w:rsid w:val="184A34BD"/>
    <w:rsid w:val="184B3BC3"/>
    <w:rsid w:val="18665DCA"/>
    <w:rsid w:val="186B2DDC"/>
    <w:rsid w:val="18783FD0"/>
    <w:rsid w:val="18784338"/>
    <w:rsid w:val="18793D13"/>
    <w:rsid w:val="188D20C3"/>
    <w:rsid w:val="189E451A"/>
    <w:rsid w:val="18AB437F"/>
    <w:rsid w:val="18B11EE8"/>
    <w:rsid w:val="18B24BEE"/>
    <w:rsid w:val="18B43948"/>
    <w:rsid w:val="18B76E06"/>
    <w:rsid w:val="18C037CE"/>
    <w:rsid w:val="18C81509"/>
    <w:rsid w:val="18CA55B6"/>
    <w:rsid w:val="18D11B1D"/>
    <w:rsid w:val="18D213E0"/>
    <w:rsid w:val="18D55EF6"/>
    <w:rsid w:val="18DE7AA3"/>
    <w:rsid w:val="18E77418"/>
    <w:rsid w:val="18F279BC"/>
    <w:rsid w:val="18FD1729"/>
    <w:rsid w:val="18FE1B00"/>
    <w:rsid w:val="190C4C9B"/>
    <w:rsid w:val="19221464"/>
    <w:rsid w:val="19230167"/>
    <w:rsid w:val="19231888"/>
    <w:rsid w:val="192A6CD4"/>
    <w:rsid w:val="192C1436"/>
    <w:rsid w:val="192C61AC"/>
    <w:rsid w:val="1933584A"/>
    <w:rsid w:val="193574B2"/>
    <w:rsid w:val="19357A6A"/>
    <w:rsid w:val="194465DA"/>
    <w:rsid w:val="19547AE4"/>
    <w:rsid w:val="195C0ECA"/>
    <w:rsid w:val="19816425"/>
    <w:rsid w:val="199228BD"/>
    <w:rsid w:val="1999085C"/>
    <w:rsid w:val="19A03ED3"/>
    <w:rsid w:val="19A54258"/>
    <w:rsid w:val="19A64FE2"/>
    <w:rsid w:val="19B51267"/>
    <w:rsid w:val="19B937E6"/>
    <w:rsid w:val="19BC2CCB"/>
    <w:rsid w:val="19BE7D7F"/>
    <w:rsid w:val="19C11A70"/>
    <w:rsid w:val="19D549CD"/>
    <w:rsid w:val="19D61E79"/>
    <w:rsid w:val="19DC012A"/>
    <w:rsid w:val="19E55867"/>
    <w:rsid w:val="19EB436A"/>
    <w:rsid w:val="19F01EC8"/>
    <w:rsid w:val="1A0653D6"/>
    <w:rsid w:val="1A0A47E9"/>
    <w:rsid w:val="1A0D4182"/>
    <w:rsid w:val="1A113948"/>
    <w:rsid w:val="1A1523C1"/>
    <w:rsid w:val="1A1901AC"/>
    <w:rsid w:val="1A1A6B2C"/>
    <w:rsid w:val="1A20088C"/>
    <w:rsid w:val="1A241B7F"/>
    <w:rsid w:val="1A27597A"/>
    <w:rsid w:val="1A3F4679"/>
    <w:rsid w:val="1A52507B"/>
    <w:rsid w:val="1A585051"/>
    <w:rsid w:val="1A5B3800"/>
    <w:rsid w:val="1A644CB7"/>
    <w:rsid w:val="1A8041AE"/>
    <w:rsid w:val="1A820919"/>
    <w:rsid w:val="1A8220AF"/>
    <w:rsid w:val="1A855C2D"/>
    <w:rsid w:val="1A8621AB"/>
    <w:rsid w:val="1AA14D54"/>
    <w:rsid w:val="1AA57B90"/>
    <w:rsid w:val="1AA949B5"/>
    <w:rsid w:val="1AB34620"/>
    <w:rsid w:val="1AB570BE"/>
    <w:rsid w:val="1ABE7BBE"/>
    <w:rsid w:val="1AC72E62"/>
    <w:rsid w:val="1ACC7B86"/>
    <w:rsid w:val="1AD5661D"/>
    <w:rsid w:val="1AD8363B"/>
    <w:rsid w:val="1AFC44A3"/>
    <w:rsid w:val="1AFD1B38"/>
    <w:rsid w:val="1B0960A4"/>
    <w:rsid w:val="1B0E5B52"/>
    <w:rsid w:val="1B163089"/>
    <w:rsid w:val="1B1747CF"/>
    <w:rsid w:val="1B231DE4"/>
    <w:rsid w:val="1B29351E"/>
    <w:rsid w:val="1B2B7A94"/>
    <w:rsid w:val="1B320924"/>
    <w:rsid w:val="1B4E6A78"/>
    <w:rsid w:val="1B5C53CC"/>
    <w:rsid w:val="1B716D35"/>
    <w:rsid w:val="1B7B0D1A"/>
    <w:rsid w:val="1B8F7C5F"/>
    <w:rsid w:val="1B9D3455"/>
    <w:rsid w:val="1BA613A0"/>
    <w:rsid w:val="1BC1267F"/>
    <w:rsid w:val="1BD1349A"/>
    <w:rsid w:val="1BD47E0E"/>
    <w:rsid w:val="1BD61E56"/>
    <w:rsid w:val="1BDB3B70"/>
    <w:rsid w:val="1BDE17FD"/>
    <w:rsid w:val="1BE25109"/>
    <w:rsid w:val="1BE87982"/>
    <w:rsid w:val="1BE900EA"/>
    <w:rsid w:val="1BF465B3"/>
    <w:rsid w:val="1BFA40B9"/>
    <w:rsid w:val="1BFF6A35"/>
    <w:rsid w:val="1C02022C"/>
    <w:rsid w:val="1C0A31F5"/>
    <w:rsid w:val="1C0F63D7"/>
    <w:rsid w:val="1C14662F"/>
    <w:rsid w:val="1C161B47"/>
    <w:rsid w:val="1C165895"/>
    <w:rsid w:val="1C23538F"/>
    <w:rsid w:val="1C2375ED"/>
    <w:rsid w:val="1C2A79C7"/>
    <w:rsid w:val="1C334FED"/>
    <w:rsid w:val="1C34699E"/>
    <w:rsid w:val="1C3B5D81"/>
    <w:rsid w:val="1C4B0CCA"/>
    <w:rsid w:val="1C52137C"/>
    <w:rsid w:val="1C56729C"/>
    <w:rsid w:val="1C5C15F2"/>
    <w:rsid w:val="1C603722"/>
    <w:rsid w:val="1C624BEE"/>
    <w:rsid w:val="1C646969"/>
    <w:rsid w:val="1C6670A0"/>
    <w:rsid w:val="1C701A95"/>
    <w:rsid w:val="1C7413D0"/>
    <w:rsid w:val="1C935793"/>
    <w:rsid w:val="1C990C22"/>
    <w:rsid w:val="1CA10997"/>
    <w:rsid w:val="1CA433C9"/>
    <w:rsid w:val="1CA609EE"/>
    <w:rsid w:val="1CA66D0B"/>
    <w:rsid w:val="1CA672AB"/>
    <w:rsid w:val="1CB1263B"/>
    <w:rsid w:val="1CB474F9"/>
    <w:rsid w:val="1CC1266F"/>
    <w:rsid w:val="1CC665E6"/>
    <w:rsid w:val="1CCE3582"/>
    <w:rsid w:val="1CED6604"/>
    <w:rsid w:val="1CF03DEE"/>
    <w:rsid w:val="1CFF6525"/>
    <w:rsid w:val="1D092151"/>
    <w:rsid w:val="1D0B4D34"/>
    <w:rsid w:val="1D221400"/>
    <w:rsid w:val="1D2C6FCD"/>
    <w:rsid w:val="1D336EA5"/>
    <w:rsid w:val="1D393D5F"/>
    <w:rsid w:val="1D3E3D67"/>
    <w:rsid w:val="1D406ABD"/>
    <w:rsid w:val="1D4C3FE0"/>
    <w:rsid w:val="1D4C4890"/>
    <w:rsid w:val="1D4E2A4B"/>
    <w:rsid w:val="1D5102CF"/>
    <w:rsid w:val="1D514848"/>
    <w:rsid w:val="1D5B4573"/>
    <w:rsid w:val="1D5E1B1B"/>
    <w:rsid w:val="1D5F5AF3"/>
    <w:rsid w:val="1D6A6530"/>
    <w:rsid w:val="1D6E5730"/>
    <w:rsid w:val="1D7B142E"/>
    <w:rsid w:val="1D93074C"/>
    <w:rsid w:val="1D93192D"/>
    <w:rsid w:val="1D96254C"/>
    <w:rsid w:val="1DA74C08"/>
    <w:rsid w:val="1DAA5ECE"/>
    <w:rsid w:val="1DAB1006"/>
    <w:rsid w:val="1DBC7809"/>
    <w:rsid w:val="1DCD339F"/>
    <w:rsid w:val="1DEF114C"/>
    <w:rsid w:val="1E095C7E"/>
    <w:rsid w:val="1E115B8D"/>
    <w:rsid w:val="1E136DAB"/>
    <w:rsid w:val="1E186377"/>
    <w:rsid w:val="1E1C3A5B"/>
    <w:rsid w:val="1E1F1F65"/>
    <w:rsid w:val="1E1F229C"/>
    <w:rsid w:val="1E22425B"/>
    <w:rsid w:val="1E272CD5"/>
    <w:rsid w:val="1E3840CC"/>
    <w:rsid w:val="1E410C0D"/>
    <w:rsid w:val="1E4A2DD7"/>
    <w:rsid w:val="1E4C3ED6"/>
    <w:rsid w:val="1E6E1C54"/>
    <w:rsid w:val="1E716C72"/>
    <w:rsid w:val="1E7D05B7"/>
    <w:rsid w:val="1E8215F2"/>
    <w:rsid w:val="1E84606A"/>
    <w:rsid w:val="1EA03FAB"/>
    <w:rsid w:val="1EA556F6"/>
    <w:rsid w:val="1EA62A7A"/>
    <w:rsid w:val="1EA77A5E"/>
    <w:rsid w:val="1EB870E9"/>
    <w:rsid w:val="1EB93B42"/>
    <w:rsid w:val="1EC311A3"/>
    <w:rsid w:val="1ECE4CA0"/>
    <w:rsid w:val="1ED36E34"/>
    <w:rsid w:val="1ED700BB"/>
    <w:rsid w:val="1EDE4159"/>
    <w:rsid w:val="1EF01D7A"/>
    <w:rsid w:val="1EF42820"/>
    <w:rsid w:val="1EFC30AF"/>
    <w:rsid w:val="1F096F5A"/>
    <w:rsid w:val="1F106CFF"/>
    <w:rsid w:val="1F144672"/>
    <w:rsid w:val="1F205660"/>
    <w:rsid w:val="1F297E6F"/>
    <w:rsid w:val="1F310B77"/>
    <w:rsid w:val="1F3462E7"/>
    <w:rsid w:val="1F397C31"/>
    <w:rsid w:val="1F470A2D"/>
    <w:rsid w:val="1F4A3F0F"/>
    <w:rsid w:val="1F4F3A99"/>
    <w:rsid w:val="1F5F14DC"/>
    <w:rsid w:val="1F6124CE"/>
    <w:rsid w:val="1F6B5BEC"/>
    <w:rsid w:val="1F6E1194"/>
    <w:rsid w:val="1F761D78"/>
    <w:rsid w:val="1F7D7DF7"/>
    <w:rsid w:val="1F8004E9"/>
    <w:rsid w:val="1F824CCF"/>
    <w:rsid w:val="1F873479"/>
    <w:rsid w:val="1F913BB4"/>
    <w:rsid w:val="1F981994"/>
    <w:rsid w:val="1FCC0B0D"/>
    <w:rsid w:val="1FD11C72"/>
    <w:rsid w:val="1FD77061"/>
    <w:rsid w:val="1FE46E91"/>
    <w:rsid w:val="1FEA7DAF"/>
    <w:rsid w:val="1FF14D4C"/>
    <w:rsid w:val="1FF956FA"/>
    <w:rsid w:val="1FFA5359"/>
    <w:rsid w:val="200330D6"/>
    <w:rsid w:val="2009711D"/>
    <w:rsid w:val="20190D2F"/>
    <w:rsid w:val="201A62BA"/>
    <w:rsid w:val="201D63A3"/>
    <w:rsid w:val="201E2443"/>
    <w:rsid w:val="201E7FC7"/>
    <w:rsid w:val="20255590"/>
    <w:rsid w:val="203635D2"/>
    <w:rsid w:val="203A6F0D"/>
    <w:rsid w:val="203D608E"/>
    <w:rsid w:val="2045260C"/>
    <w:rsid w:val="20553EDE"/>
    <w:rsid w:val="20625010"/>
    <w:rsid w:val="206571AE"/>
    <w:rsid w:val="20667FE4"/>
    <w:rsid w:val="2073734C"/>
    <w:rsid w:val="208075C1"/>
    <w:rsid w:val="208A54B6"/>
    <w:rsid w:val="208C03FB"/>
    <w:rsid w:val="20AE7F81"/>
    <w:rsid w:val="20AF59DF"/>
    <w:rsid w:val="20B81316"/>
    <w:rsid w:val="20C31921"/>
    <w:rsid w:val="20C53BFD"/>
    <w:rsid w:val="20E4362A"/>
    <w:rsid w:val="20E7694F"/>
    <w:rsid w:val="2104096B"/>
    <w:rsid w:val="21105934"/>
    <w:rsid w:val="211F536E"/>
    <w:rsid w:val="21257CDF"/>
    <w:rsid w:val="21281F70"/>
    <w:rsid w:val="212D1D3A"/>
    <w:rsid w:val="21304390"/>
    <w:rsid w:val="21354C61"/>
    <w:rsid w:val="21357156"/>
    <w:rsid w:val="213F7079"/>
    <w:rsid w:val="214C1EE7"/>
    <w:rsid w:val="214E743D"/>
    <w:rsid w:val="215348C5"/>
    <w:rsid w:val="21603973"/>
    <w:rsid w:val="216A4654"/>
    <w:rsid w:val="216B3AA9"/>
    <w:rsid w:val="216E0016"/>
    <w:rsid w:val="218C3814"/>
    <w:rsid w:val="218D6584"/>
    <w:rsid w:val="219158AA"/>
    <w:rsid w:val="21A40375"/>
    <w:rsid w:val="21AC39BF"/>
    <w:rsid w:val="21B318DC"/>
    <w:rsid w:val="21C87A2D"/>
    <w:rsid w:val="21CB5C50"/>
    <w:rsid w:val="21DF4377"/>
    <w:rsid w:val="21F25119"/>
    <w:rsid w:val="21FE38C2"/>
    <w:rsid w:val="220032D4"/>
    <w:rsid w:val="22055225"/>
    <w:rsid w:val="22055A0D"/>
    <w:rsid w:val="220D0D5B"/>
    <w:rsid w:val="2222307D"/>
    <w:rsid w:val="22224AF8"/>
    <w:rsid w:val="222A3D5C"/>
    <w:rsid w:val="22483DC9"/>
    <w:rsid w:val="224B15B3"/>
    <w:rsid w:val="22566BC3"/>
    <w:rsid w:val="2260039A"/>
    <w:rsid w:val="226573A9"/>
    <w:rsid w:val="226E2FC9"/>
    <w:rsid w:val="2272142D"/>
    <w:rsid w:val="22741269"/>
    <w:rsid w:val="2283468E"/>
    <w:rsid w:val="228B4B9A"/>
    <w:rsid w:val="229D35B4"/>
    <w:rsid w:val="229E255B"/>
    <w:rsid w:val="22B16D07"/>
    <w:rsid w:val="22B9690F"/>
    <w:rsid w:val="22C7065A"/>
    <w:rsid w:val="22C76621"/>
    <w:rsid w:val="22CC60F3"/>
    <w:rsid w:val="22D95F89"/>
    <w:rsid w:val="22DB0D34"/>
    <w:rsid w:val="22EB585E"/>
    <w:rsid w:val="22FE46B9"/>
    <w:rsid w:val="230F6494"/>
    <w:rsid w:val="231464EB"/>
    <w:rsid w:val="23150308"/>
    <w:rsid w:val="231973C8"/>
    <w:rsid w:val="232356CE"/>
    <w:rsid w:val="232E0E64"/>
    <w:rsid w:val="232F54AC"/>
    <w:rsid w:val="233B4E20"/>
    <w:rsid w:val="234552E0"/>
    <w:rsid w:val="234D5393"/>
    <w:rsid w:val="234E057B"/>
    <w:rsid w:val="234F06CD"/>
    <w:rsid w:val="234F40B0"/>
    <w:rsid w:val="23631045"/>
    <w:rsid w:val="236938C4"/>
    <w:rsid w:val="23707EF0"/>
    <w:rsid w:val="23735F16"/>
    <w:rsid w:val="23780236"/>
    <w:rsid w:val="23781B21"/>
    <w:rsid w:val="23795A9A"/>
    <w:rsid w:val="23817CFA"/>
    <w:rsid w:val="2385697B"/>
    <w:rsid w:val="23983720"/>
    <w:rsid w:val="239F5D06"/>
    <w:rsid w:val="23A27E3B"/>
    <w:rsid w:val="23B24CB0"/>
    <w:rsid w:val="23BB030F"/>
    <w:rsid w:val="23C37BFA"/>
    <w:rsid w:val="23CB48FE"/>
    <w:rsid w:val="23E377E5"/>
    <w:rsid w:val="23EA133B"/>
    <w:rsid w:val="23EF4411"/>
    <w:rsid w:val="23F15194"/>
    <w:rsid w:val="23F87BC1"/>
    <w:rsid w:val="23F9101A"/>
    <w:rsid w:val="240414EB"/>
    <w:rsid w:val="24076AD8"/>
    <w:rsid w:val="240D0DF3"/>
    <w:rsid w:val="24147031"/>
    <w:rsid w:val="24183969"/>
    <w:rsid w:val="241B15F4"/>
    <w:rsid w:val="241C48FF"/>
    <w:rsid w:val="243A5464"/>
    <w:rsid w:val="243E4DC2"/>
    <w:rsid w:val="24404F9F"/>
    <w:rsid w:val="244E546F"/>
    <w:rsid w:val="24547928"/>
    <w:rsid w:val="24555CBF"/>
    <w:rsid w:val="24557E6D"/>
    <w:rsid w:val="2459488F"/>
    <w:rsid w:val="24641F0F"/>
    <w:rsid w:val="24653DB4"/>
    <w:rsid w:val="24676B80"/>
    <w:rsid w:val="246D186C"/>
    <w:rsid w:val="247E4428"/>
    <w:rsid w:val="24825998"/>
    <w:rsid w:val="24AD51DC"/>
    <w:rsid w:val="24B23B55"/>
    <w:rsid w:val="24C612DD"/>
    <w:rsid w:val="24C93487"/>
    <w:rsid w:val="24D452F4"/>
    <w:rsid w:val="24D70787"/>
    <w:rsid w:val="24E0511E"/>
    <w:rsid w:val="24E1323E"/>
    <w:rsid w:val="24FA049E"/>
    <w:rsid w:val="250C249D"/>
    <w:rsid w:val="250D1805"/>
    <w:rsid w:val="25186480"/>
    <w:rsid w:val="25210EDF"/>
    <w:rsid w:val="25274BDA"/>
    <w:rsid w:val="25405511"/>
    <w:rsid w:val="2542275D"/>
    <w:rsid w:val="254445A8"/>
    <w:rsid w:val="254915F9"/>
    <w:rsid w:val="254A4A33"/>
    <w:rsid w:val="254A4B91"/>
    <w:rsid w:val="25532CE5"/>
    <w:rsid w:val="25665F49"/>
    <w:rsid w:val="256A52C8"/>
    <w:rsid w:val="256D79BD"/>
    <w:rsid w:val="25701C9A"/>
    <w:rsid w:val="257E7259"/>
    <w:rsid w:val="257E7BE1"/>
    <w:rsid w:val="25831F62"/>
    <w:rsid w:val="258417FD"/>
    <w:rsid w:val="258758BA"/>
    <w:rsid w:val="25AC2F3D"/>
    <w:rsid w:val="25B03C69"/>
    <w:rsid w:val="25CA640E"/>
    <w:rsid w:val="25CC02D6"/>
    <w:rsid w:val="25D61CA5"/>
    <w:rsid w:val="25D64A3E"/>
    <w:rsid w:val="25D74121"/>
    <w:rsid w:val="25E30D76"/>
    <w:rsid w:val="25E7055B"/>
    <w:rsid w:val="25EF2012"/>
    <w:rsid w:val="25F705C2"/>
    <w:rsid w:val="25FF624F"/>
    <w:rsid w:val="260363C3"/>
    <w:rsid w:val="26160C56"/>
    <w:rsid w:val="26166351"/>
    <w:rsid w:val="26252F39"/>
    <w:rsid w:val="26272D2F"/>
    <w:rsid w:val="262C188B"/>
    <w:rsid w:val="262E496B"/>
    <w:rsid w:val="262E78FF"/>
    <w:rsid w:val="26371A4D"/>
    <w:rsid w:val="263E2BC7"/>
    <w:rsid w:val="264408C8"/>
    <w:rsid w:val="26590DD8"/>
    <w:rsid w:val="26675A3F"/>
    <w:rsid w:val="266C26CE"/>
    <w:rsid w:val="266F15FC"/>
    <w:rsid w:val="26706DCD"/>
    <w:rsid w:val="2679133C"/>
    <w:rsid w:val="268E30CE"/>
    <w:rsid w:val="268F00E2"/>
    <w:rsid w:val="269937F9"/>
    <w:rsid w:val="269D4FEB"/>
    <w:rsid w:val="26AB767E"/>
    <w:rsid w:val="26B20815"/>
    <w:rsid w:val="26BB746F"/>
    <w:rsid w:val="26BC7BD5"/>
    <w:rsid w:val="26C027AB"/>
    <w:rsid w:val="26C1040C"/>
    <w:rsid w:val="26C678F3"/>
    <w:rsid w:val="26CF1183"/>
    <w:rsid w:val="26D268C7"/>
    <w:rsid w:val="26D5291B"/>
    <w:rsid w:val="26D97BF9"/>
    <w:rsid w:val="26E31084"/>
    <w:rsid w:val="26EC74E9"/>
    <w:rsid w:val="26FB7BB0"/>
    <w:rsid w:val="27010E6C"/>
    <w:rsid w:val="270D6A27"/>
    <w:rsid w:val="271533E1"/>
    <w:rsid w:val="271545FA"/>
    <w:rsid w:val="271E5737"/>
    <w:rsid w:val="272229C7"/>
    <w:rsid w:val="27261BFE"/>
    <w:rsid w:val="27263C85"/>
    <w:rsid w:val="27306D5F"/>
    <w:rsid w:val="273A3B67"/>
    <w:rsid w:val="273C634D"/>
    <w:rsid w:val="274D3946"/>
    <w:rsid w:val="27502D96"/>
    <w:rsid w:val="27521D20"/>
    <w:rsid w:val="27580D2D"/>
    <w:rsid w:val="27581AA5"/>
    <w:rsid w:val="275C79C0"/>
    <w:rsid w:val="27620F18"/>
    <w:rsid w:val="276315BD"/>
    <w:rsid w:val="276F0577"/>
    <w:rsid w:val="277C71C7"/>
    <w:rsid w:val="278D6740"/>
    <w:rsid w:val="27941C3A"/>
    <w:rsid w:val="279567DA"/>
    <w:rsid w:val="27A218A4"/>
    <w:rsid w:val="27AA77BB"/>
    <w:rsid w:val="27B172F7"/>
    <w:rsid w:val="27BB43AF"/>
    <w:rsid w:val="27C31FC4"/>
    <w:rsid w:val="27C8435B"/>
    <w:rsid w:val="27CE759B"/>
    <w:rsid w:val="27D033B1"/>
    <w:rsid w:val="27D06EE5"/>
    <w:rsid w:val="27D605B1"/>
    <w:rsid w:val="27DC1F75"/>
    <w:rsid w:val="27DD239E"/>
    <w:rsid w:val="27EA6835"/>
    <w:rsid w:val="27EB4F14"/>
    <w:rsid w:val="27F1705A"/>
    <w:rsid w:val="28181C91"/>
    <w:rsid w:val="28217EB8"/>
    <w:rsid w:val="282A4041"/>
    <w:rsid w:val="282D021B"/>
    <w:rsid w:val="283B18D2"/>
    <w:rsid w:val="284137D7"/>
    <w:rsid w:val="28417098"/>
    <w:rsid w:val="285265F5"/>
    <w:rsid w:val="28614DC4"/>
    <w:rsid w:val="286D069E"/>
    <w:rsid w:val="287C59DC"/>
    <w:rsid w:val="28853E0C"/>
    <w:rsid w:val="288C26C6"/>
    <w:rsid w:val="289102BC"/>
    <w:rsid w:val="2894636E"/>
    <w:rsid w:val="28B52986"/>
    <w:rsid w:val="28C130E6"/>
    <w:rsid w:val="28C72E80"/>
    <w:rsid w:val="28D825E7"/>
    <w:rsid w:val="28E8667B"/>
    <w:rsid w:val="28F553FF"/>
    <w:rsid w:val="28F87D8F"/>
    <w:rsid w:val="28FC565F"/>
    <w:rsid w:val="2901758D"/>
    <w:rsid w:val="290E23BD"/>
    <w:rsid w:val="291D1025"/>
    <w:rsid w:val="2921572C"/>
    <w:rsid w:val="293016D6"/>
    <w:rsid w:val="293C42A4"/>
    <w:rsid w:val="293E610B"/>
    <w:rsid w:val="29487892"/>
    <w:rsid w:val="295F4ED8"/>
    <w:rsid w:val="29662668"/>
    <w:rsid w:val="2966408C"/>
    <w:rsid w:val="2966673D"/>
    <w:rsid w:val="297312D5"/>
    <w:rsid w:val="29923033"/>
    <w:rsid w:val="2993304A"/>
    <w:rsid w:val="2997216F"/>
    <w:rsid w:val="29AC0EC3"/>
    <w:rsid w:val="29AD0F84"/>
    <w:rsid w:val="29BD541D"/>
    <w:rsid w:val="29BD70E1"/>
    <w:rsid w:val="29C91758"/>
    <w:rsid w:val="29D53969"/>
    <w:rsid w:val="29D63DCB"/>
    <w:rsid w:val="29D76B7A"/>
    <w:rsid w:val="29E17F79"/>
    <w:rsid w:val="29E36752"/>
    <w:rsid w:val="29E54F5E"/>
    <w:rsid w:val="29EA2F3F"/>
    <w:rsid w:val="29EA5BB5"/>
    <w:rsid w:val="29EC0B6E"/>
    <w:rsid w:val="29EC29AD"/>
    <w:rsid w:val="29EE25A1"/>
    <w:rsid w:val="29F40AFA"/>
    <w:rsid w:val="29FC05CE"/>
    <w:rsid w:val="2A05521A"/>
    <w:rsid w:val="2A277C20"/>
    <w:rsid w:val="2A2D2971"/>
    <w:rsid w:val="2A2D5CF5"/>
    <w:rsid w:val="2A4D313E"/>
    <w:rsid w:val="2A562D18"/>
    <w:rsid w:val="2A573421"/>
    <w:rsid w:val="2A5B10E9"/>
    <w:rsid w:val="2A5E3C18"/>
    <w:rsid w:val="2A665E5D"/>
    <w:rsid w:val="2A6914C6"/>
    <w:rsid w:val="2A7F520C"/>
    <w:rsid w:val="2A80701E"/>
    <w:rsid w:val="2A882D50"/>
    <w:rsid w:val="2A8B6352"/>
    <w:rsid w:val="2A8C2322"/>
    <w:rsid w:val="2A9106A9"/>
    <w:rsid w:val="2AB236DB"/>
    <w:rsid w:val="2AB556F5"/>
    <w:rsid w:val="2AC06D69"/>
    <w:rsid w:val="2AC177F9"/>
    <w:rsid w:val="2AC46B4D"/>
    <w:rsid w:val="2AC81A03"/>
    <w:rsid w:val="2ACC4F51"/>
    <w:rsid w:val="2ACC7527"/>
    <w:rsid w:val="2AD83BEE"/>
    <w:rsid w:val="2ADF1BD7"/>
    <w:rsid w:val="2AE135E3"/>
    <w:rsid w:val="2AE2347B"/>
    <w:rsid w:val="2AE2714F"/>
    <w:rsid w:val="2AE57C7B"/>
    <w:rsid w:val="2AEE544E"/>
    <w:rsid w:val="2AF16266"/>
    <w:rsid w:val="2AF93FAB"/>
    <w:rsid w:val="2AFB602E"/>
    <w:rsid w:val="2B135798"/>
    <w:rsid w:val="2B181A7E"/>
    <w:rsid w:val="2B1B2841"/>
    <w:rsid w:val="2B275BFD"/>
    <w:rsid w:val="2B2A560F"/>
    <w:rsid w:val="2B2A73E8"/>
    <w:rsid w:val="2B2B67B4"/>
    <w:rsid w:val="2B325D25"/>
    <w:rsid w:val="2B333677"/>
    <w:rsid w:val="2B3360BB"/>
    <w:rsid w:val="2B396CB3"/>
    <w:rsid w:val="2B3B385B"/>
    <w:rsid w:val="2B413FD6"/>
    <w:rsid w:val="2B4144D3"/>
    <w:rsid w:val="2B4573A1"/>
    <w:rsid w:val="2B472858"/>
    <w:rsid w:val="2B571BA4"/>
    <w:rsid w:val="2B6672BD"/>
    <w:rsid w:val="2B67239B"/>
    <w:rsid w:val="2B8776CC"/>
    <w:rsid w:val="2BA07762"/>
    <w:rsid w:val="2BA54A76"/>
    <w:rsid w:val="2BA82ACF"/>
    <w:rsid w:val="2BAD3ACF"/>
    <w:rsid w:val="2BB73DC8"/>
    <w:rsid w:val="2BBD2986"/>
    <w:rsid w:val="2BC9410B"/>
    <w:rsid w:val="2BD36DB9"/>
    <w:rsid w:val="2BE066D0"/>
    <w:rsid w:val="2BED5A13"/>
    <w:rsid w:val="2BF46872"/>
    <w:rsid w:val="2C0117F1"/>
    <w:rsid w:val="2C080AB5"/>
    <w:rsid w:val="2C0A1539"/>
    <w:rsid w:val="2C1B1C2F"/>
    <w:rsid w:val="2C1C49B0"/>
    <w:rsid w:val="2C1D2781"/>
    <w:rsid w:val="2C252489"/>
    <w:rsid w:val="2C2656A9"/>
    <w:rsid w:val="2C2D7F41"/>
    <w:rsid w:val="2C2F1F98"/>
    <w:rsid w:val="2C393445"/>
    <w:rsid w:val="2C4813CA"/>
    <w:rsid w:val="2C4A6148"/>
    <w:rsid w:val="2C4E32AA"/>
    <w:rsid w:val="2C513276"/>
    <w:rsid w:val="2C590A42"/>
    <w:rsid w:val="2C5B4E42"/>
    <w:rsid w:val="2C5F4CBC"/>
    <w:rsid w:val="2C6D36DC"/>
    <w:rsid w:val="2C72358A"/>
    <w:rsid w:val="2C75481A"/>
    <w:rsid w:val="2C763C22"/>
    <w:rsid w:val="2C7B7EE1"/>
    <w:rsid w:val="2C8D5F77"/>
    <w:rsid w:val="2C946004"/>
    <w:rsid w:val="2C9B477A"/>
    <w:rsid w:val="2C9C566E"/>
    <w:rsid w:val="2CAF3297"/>
    <w:rsid w:val="2CB204F8"/>
    <w:rsid w:val="2CB31108"/>
    <w:rsid w:val="2CB537C8"/>
    <w:rsid w:val="2CB84119"/>
    <w:rsid w:val="2CCB163A"/>
    <w:rsid w:val="2CD61C99"/>
    <w:rsid w:val="2CDB55E8"/>
    <w:rsid w:val="2CDD5FDC"/>
    <w:rsid w:val="2CE36010"/>
    <w:rsid w:val="2CF33615"/>
    <w:rsid w:val="2CF40B0E"/>
    <w:rsid w:val="2CF55F46"/>
    <w:rsid w:val="2CF62567"/>
    <w:rsid w:val="2CFD00E6"/>
    <w:rsid w:val="2D137E45"/>
    <w:rsid w:val="2D193D89"/>
    <w:rsid w:val="2D1E18EB"/>
    <w:rsid w:val="2D2024E9"/>
    <w:rsid w:val="2D2264D4"/>
    <w:rsid w:val="2D23653A"/>
    <w:rsid w:val="2D2A643F"/>
    <w:rsid w:val="2D305F00"/>
    <w:rsid w:val="2D3923F0"/>
    <w:rsid w:val="2D3A7602"/>
    <w:rsid w:val="2D4F4AAA"/>
    <w:rsid w:val="2D520468"/>
    <w:rsid w:val="2D53486C"/>
    <w:rsid w:val="2D5D43C3"/>
    <w:rsid w:val="2D5E2EA4"/>
    <w:rsid w:val="2D5F2BA5"/>
    <w:rsid w:val="2D6471B0"/>
    <w:rsid w:val="2D662217"/>
    <w:rsid w:val="2D726755"/>
    <w:rsid w:val="2D747BDD"/>
    <w:rsid w:val="2D800B50"/>
    <w:rsid w:val="2D804DF0"/>
    <w:rsid w:val="2D833092"/>
    <w:rsid w:val="2D8F5735"/>
    <w:rsid w:val="2D903126"/>
    <w:rsid w:val="2D926042"/>
    <w:rsid w:val="2DA43A29"/>
    <w:rsid w:val="2DA627B4"/>
    <w:rsid w:val="2DBA3F11"/>
    <w:rsid w:val="2DC5597F"/>
    <w:rsid w:val="2DD064E6"/>
    <w:rsid w:val="2DD16BF3"/>
    <w:rsid w:val="2DE305C6"/>
    <w:rsid w:val="2DE3772E"/>
    <w:rsid w:val="2DE44490"/>
    <w:rsid w:val="2DE52146"/>
    <w:rsid w:val="2DEF3288"/>
    <w:rsid w:val="2E023AAA"/>
    <w:rsid w:val="2E061135"/>
    <w:rsid w:val="2E0A685B"/>
    <w:rsid w:val="2E0C6F82"/>
    <w:rsid w:val="2E142D10"/>
    <w:rsid w:val="2E1D295D"/>
    <w:rsid w:val="2E210DA6"/>
    <w:rsid w:val="2E441589"/>
    <w:rsid w:val="2E4C6823"/>
    <w:rsid w:val="2E674F36"/>
    <w:rsid w:val="2E6F72F7"/>
    <w:rsid w:val="2E717FD1"/>
    <w:rsid w:val="2E76095F"/>
    <w:rsid w:val="2E8B6B94"/>
    <w:rsid w:val="2E8E6010"/>
    <w:rsid w:val="2EBB2BCE"/>
    <w:rsid w:val="2EBD4AD4"/>
    <w:rsid w:val="2EBD5653"/>
    <w:rsid w:val="2EBF4671"/>
    <w:rsid w:val="2ED15158"/>
    <w:rsid w:val="2EEA479F"/>
    <w:rsid w:val="2EEF324C"/>
    <w:rsid w:val="2EF52E86"/>
    <w:rsid w:val="2EFD60BE"/>
    <w:rsid w:val="2F014CB6"/>
    <w:rsid w:val="2F1D2465"/>
    <w:rsid w:val="2F2B23D3"/>
    <w:rsid w:val="2F303763"/>
    <w:rsid w:val="2F3738B0"/>
    <w:rsid w:val="2F3816CE"/>
    <w:rsid w:val="2F3C2550"/>
    <w:rsid w:val="2F3C3299"/>
    <w:rsid w:val="2F3F1D87"/>
    <w:rsid w:val="2F5566C7"/>
    <w:rsid w:val="2F686E84"/>
    <w:rsid w:val="2F6A647B"/>
    <w:rsid w:val="2F7108E7"/>
    <w:rsid w:val="2F805E96"/>
    <w:rsid w:val="2F822969"/>
    <w:rsid w:val="2F8455D3"/>
    <w:rsid w:val="2F8F237B"/>
    <w:rsid w:val="2F8F7F1D"/>
    <w:rsid w:val="2F974F8A"/>
    <w:rsid w:val="2FAB58E2"/>
    <w:rsid w:val="2FB83B26"/>
    <w:rsid w:val="2FC04267"/>
    <w:rsid w:val="2FC10191"/>
    <w:rsid w:val="2FD40A0A"/>
    <w:rsid w:val="2FE31FDA"/>
    <w:rsid w:val="2FF0102F"/>
    <w:rsid w:val="2FF53035"/>
    <w:rsid w:val="2FFD3B4F"/>
    <w:rsid w:val="30054779"/>
    <w:rsid w:val="300924F5"/>
    <w:rsid w:val="300A79CD"/>
    <w:rsid w:val="301669F4"/>
    <w:rsid w:val="301851DA"/>
    <w:rsid w:val="301C4442"/>
    <w:rsid w:val="303C0C39"/>
    <w:rsid w:val="304904A8"/>
    <w:rsid w:val="304F23E0"/>
    <w:rsid w:val="30507967"/>
    <w:rsid w:val="30522314"/>
    <w:rsid w:val="30596D95"/>
    <w:rsid w:val="305B3763"/>
    <w:rsid w:val="30643F89"/>
    <w:rsid w:val="307901F1"/>
    <w:rsid w:val="307C0436"/>
    <w:rsid w:val="30822D0C"/>
    <w:rsid w:val="30A6485F"/>
    <w:rsid w:val="30B3458F"/>
    <w:rsid w:val="30B35BC2"/>
    <w:rsid w:val="30B86B40"/>
    <w:rsid w:val="30C516DC"/>
    <w:rsid w:val="30C77769"/>
    <w:rsid w:val="30C86E4A"/>
    <w:rsid w:val="30C95FB4"/>
    <w:rsid w:val="30CF14D6"/>
    <w:rsid w:val="30DA3B5A"/>
    <w:rsid w:val="30DB5136"/>
    <w:rsid w:val="30E2045D"/>
    <w:rsid w:val="30E97272"/>
    <w:rsid w:val="31023944"/>
    <w:rsid w:val="31047136"/>
    <w:rsid w:val="31276AB3"/>
    <w:rsid w:val="312B436C"/>
    <w:rsid w:val="31382D0F"/>
    <w:rsid w:val="3139739B"/>
    <w:rsid w:val="313F2235"/>
    <w:rsid w:val="314342B0"/>
    <w:rsid w:val="3145353C"/>
    <w:rsid w:val="31552B38"/>
    <w:rsid w:val="31561FE9"/>
    <w:rsid w:val="31583233"/>
    <w:rsid w:val="315A51CB"/>
    <w:rsid w:val="31695755"/>
    <w:rsid w:val="317C0166"/>
    <w:rsid w:val="317F520E"/>
    <w:rsid w:val="31804A14"/>
    <w:rsid w:val="318A3BF5"/>
    <w:rsid w:val="319431FC"/>
    <w:rsid w:val="319B48C9"/>
    <w:rsid w:val="319F4617"/>
    <w:rsid w:val="31A9610E"/>
    <w:rsid w:val="31AE79A4"/>
    <w:rsid w:val="31B1057E"/>
    <w:rsid w:val="31B379CC"/>
    <w:rsid w:val="31BD45BB"/>
    <w:rsid w:val="31C63F62"/>
    <w:rsid w:val="31C911BD"/>
    <w:rsid w:val="31CA40CB"/>
    <w:rsid w:val="31EA4232"/>
    <w:rsid w:val="31FB490B"/>
    <w:rsid w:val="31FB4AD8"/>
    <w:rsid w:val="31FF7EC9"/>
    <w:rsid w:val="32116AA5"/>
    <w:rsid w:val="32296D61"/>
    <w:rsid w:val="322D3B3E"/>
    <w:rsid w:val="32313639"/>
    <w:rsid w:val="32351861"/>
    <w:rsid w:val="3236487E"/>
    <w:rsid w:val="323D4509"/>
    <w:rsid w:val="32410BD1"/>
    <w:rsid w:val="3242682F"/>
    <w:rsid w:val="32460F0E"/>
    <w:rsid w:val="32502341"/>
    <w:rsid w:val="325B3F7C"/>
    <w:rsid w:val="32725B09"/>
    <w:rsid w:val="32776D52"/>
    <w:rsid w:val="32794D1E"/>
    <w:rsid w:val="328C501C"/>
    <w:rsid w:val="3293236D"/>
    <w:rsid w:val="32991342"/>
    <w:rsid w:val="329A6878"/>
    <w:rsid w:val="329E2E1E"/>
    <w:rsid w:val="32B11607"/>
    <w:rsid w:val="32B84790"/>
    <w:rsid w:val="32B85181"/>
    <w:rsid w:val="32C32038"/>
    <w:rsid w:val="32CD06C6"/>
    <w:rsid w:val="32D822DE"/>
    <w:rsid w:val="32E52A78"/>
    <w:rsid w:val="32EA7095"/>
    <w:rsid w:val="330978A7"/>
    <w:rsid w:val="330C0C70"/>
    <w:rsid w:val="330D7580"/>
    <w:rsid w:val="3311666E"/>
    <w:rsid w:val="331B4E7F"/>
    <w:rsid w:val="331F0C5E"/>
    <w:rsid w:val="332A4F57"/>
    <w:rsid w:val="333004EC"/>
    <w:rsid w:val="333265A0"/>
    <w:rsid w:val="33384AC8"/>
    <w:rsid w:val="333A348D"/>
    <w:rsid w:val="333B58B7"/>
    <w:rsid w:val="334637A5"/>
    <w:rsid w:val="335B3BC2"/>
    <w:rsid w:val="336379AC"/>
    <w:rsid w:val="33647476"/>
    <w:rsid w:val="33666BF2"/>
    <w:rsid w:val="33693FF0"/>
    <w:rsid w:val="336B1B50"/>
    <w:rsid w:val="336B652F"/>
    <w:rsid w:val="33794DA1"/>
    <w:rsid w:val="337F7258"/>
    <w:rsid w:val="33807731"/>
    <w:rsid w:val="33814772"/>
    <w:rsid w:val="33893A4A"/>
    <w:rsid w:val="33A90AFD"/>
    <w:rsid w:val="33AE3ADE"/>
    <w:rsid w:val="33B61B9F"/>
    <w:rsid w:val="33B67C2F"/>
    <w:rsid w:val="33BF246D"/>
    <w:rsid w:val="33C470E8"/>
    <w:rsid w:val="33C7187A"/>
    <w:rsid w:val="33CA4643"/>
    <w:rsid w:val="33D7357A"/>
    <w:rsid w:val="33DF5EA4"/>
    <w:rsid w:val="33E512CB"/>
    <w:rsid w:val="33F16FF2"/>
    <w:rsid w:val="33F57D37"/>
    <w:rsid w:val="33FE7A6A"/>
    <w:rsid w:val="34016241"/>
    <w:rsid w:val="340B29E3"/>
    <w:rsid w:val="34111FDE"/>
    <w:rsid w:val="341C53F0"/>
    <w:rsid w:val="341E25C9"/>
    <w:rsid w:val="342D02EE"/>
    <w:rsid w:val="345045F6"/>
    <w:rsid w:val="3458646E"/>
    <w:rsid w:val="34586FCC"/>
    <w:rsid w:val="346A2F1B"/>
    <w:rsid w:val="346B09E0"/>
    <w:rsid w:val="346B3DAA"/>
    <w:rsid w:val="346C1577"/>
    <w:rsid w:val="34741D16"/>
    <w:rsid w:val="347D27E6"/>
    <w:rsid w:val="347D63A7"/>
    <w:rsid w:val="348B031A"/>
    <w:rsid w:val="349B1FE0"/>
    <w:rsid w:val="349B595B"/>
    <w:rsid w:val="349E5D95"/>
    <w:rsid w:val="34AC4475"/>
    <w:rsid w:val="34B20570"/>
    <w:rsid w:val="34B20C78"/>
    <w:rsid w:val="34B95894"/>
    <w:rsid w:val="34CD5009"/>
    <w:rsid w:val="34DB5C3D"/>
    <w:rsid w:val="34E64EBC"/>
    <w:rsid w:val="34ED5F71"/>
    <w:rsid w:val="34F275EB"/>
    <w:rsid w:val="34F91F13"/>
    <w:rsid w:val="34FA2119"/>
    <w:rsid w:val="34FE76A9"/>
    <w:rsid w:val="3503507D"/>
    <w:rsid w:val="350724FC"/>
    <w:rsid w:val="350B52FA"/>
    <w:rsid w:val="350B650A"/>
    <w:rsid w:val="35193BE1"/>
    <w:rsid w:val="351B4047"/>
    <w:rsid w:val="352D2DB3"/>
    <w:rsid w:val="353648C2"/>
    <w:rsid w:val="35427A81"/>
    <w:rsid w:val="3548240E"/>
    <w:rsid w:val="35495FA4"/>
    <w:rsid w:val="354C4996"/>
    <w:rsid w:val="355025DD"/>
    <w:rsid w:val="3556200B"/>
    <w:rsid w:val="356443BA"/>
    <w:rsid w:val="35683B2E"/>
    <w:rsid w:val="356B590F"/>
    <w:rsid w:val="35705CA3"/>
    <w:rsid w:val="358371B8"/>
    <w:rsid w:val="35886FC3"/>
    <w:rsid w:val="359454FF"/>
    <w:rsid w:val="35A55A21"/>
    <w:rsid w:val="35A7301C"/>
    <w:rsid w:val="35AA72C3"/>
    <w:rsid w:val="35B72170"/>
    <w:rsid w:val="35BE3BA7"/>
    <w:rsid w:val="35BE692D"/>
    <w:rsid w:val="35C35375"/>
    <w:rsid w:val="35CD0CD5"/>
    <w:rsid w:val="35CF74B2"/>
    <w:rsid w:val="35D10F35"/>
    <w:rsid w:val="35D71409"/>
    <w:rsid w:val="35E01282"/>
    <w:rsid w:val="35E51BDD"/>
    <w:rsid w:val="35F035EC"/>
    <w:rsid w:val="35F16B98"/>
    <w:rsid w:val="35FD1A48"/>
    <w:rsid w:val="36067963"/>
    <w:rsid w:val="36185BFD"/>
    <w:rsid w:val="361D45DA"/>
    <w:rsid w:val="362A3069"/>
    <w:rsid w:val="36347D35"/>
    <w:rsid w:val="363C2642"/>
    <w:rsid w:val="363E345B"/>
    <w:rsid w:val="36441324"/>
    <w:rsid w:val="365D3FEB"/>
    <w:rsid w:val="36612348"/>
    <w:rsid w:val="367F5BED"/>
    <w:rsid w:val="36821E3F"/>
    <w:rsid w:val="36941073"/>
    <w:rsid w:val="36956547"/>
    <w:rsid w:val="36981D9F"/>
    <w:rsid w:val="36A703E8"/>
    <w:rsid w:val="36A713C0"/>
    <w:rsid w:val="36BD36C7"/>
    <w:rsid w:val="36C50333"/>
    <w:rsid w:val="36C92336"/>
    <w:rsid w:val="36CB30AF"/>
    <w:rsid w:val="36D23868"/>
    <w:rsid w:val="36DD1B87"/>
    <w:rsid w:val="36E336D1"/>
    <w:rsid w:val="36E80099"/>
    <w:rsid w:val="36EB5B02"/>
    <w:rsid w:val="36EC2E4D"/>
    <w:rsid w:val="36EE2F73"/>
    <w:rsid w:val="36FF206C"/>
    <w:rsid w:val="370C67D8"/>
    <w:rsid w:val="37111836"/>
    <w:rsid w:val="37187E3B"/>
    <w:rsid w:val="37227843"/>
    <w:rsid w:val="37256661"/>
    <w:rsid w:val="372A3464"/>
    <w:rsid w:val="3732290A"/>
    <w:rsid w:val="37363D83"/>
    <w:rsid w:val="37481848"/>
    <w:rsid w:val="374A6D9D"/>
    <w:rsid w:val="37521BA6"/>
    <w:rsid w:val="37524D09"/>
    <w:rsid w:val="3761276C"/>
    <w:rsid w:val="37662094"/>
    <w:rsid w:val="37687AA1"/>
    <w:rsid w:val="376B3945"/>
    <w:rsid w:val="376F5C99"/>
    <w:rsid w:val="37977BA5"/>
    <w:rsid w:val="37985B43"/>
    <w:rsid w:val="37A9567E"/>
    <w:rsid w:val="37B074DE"/>
    <w:rsid w:val="37B27E04"/>
    <w:rsid w:val="37B42A43"/>
    <w:rsid w:val="37E5430D"/>
    <w:rsid w:val="37FA7DEE"/>
    <w:rsid w:val="38070F82"/>
    <w:rsid w:val="380C5D3B"/>
    <w:rsid w:val="380F5F68"/>
    <w:rsid w:val="381674AA"/>
    <w:rsid w:val="38193226"/>
    <w:rsid w:val="381A1960"/>
    <w:rsid w:val="38217DE3"/>
    <w:rsid w:val="382B577F"/>
    <w:rsid w:val="38386B22"/>
    <w:rsid w:val="384E6F89"/>
    <w:rsid w:val="385C0023"/>
    <w:rsid w:val="386B73A9"/>
    <w:rsid w:val="3871401B"/>
    <w:rsid w:val="387662CD"/>
    <w:rsid w:val="38792781"/>
    <w:rsid w:val="387C6187"/>
    <w:rsid w:val="3882287A"/>
    <w:rsid w:val="388333ED"/>
    <w:rsid w:val="38887E4E"/>
    <w:rsid w:val="389B115E"/>
    <w:rsid w:val="38A54946"/>
    <w:rsid w:val="38B15BFD"/>
    <w:rsid w:val="38B24D0D"/>
    <w:rsid w:val="38B65CF8"/>
    <w:rsid w:val="38C1372F"/>
    <w:rsid w:val="38C94E78"/>
    <w:rsid w:val="38CC6C77"/>
    <w:rsid w:val="38D826D0"/>
    <w:rsid w:val="38D9074A"/>
    <w:rsid w:val="38DC36EF"/>
    <w:rsid w:val="38DF6997"/>
    <w:rsid w:val="38F01804"/>
    <w:rsid w:val="39115AF1"/>
    <w:rsid w:val="39150146"/>
    <w:rsid w:val="3917673A"/>
    <w:rsid w:val="391A3F10"/>
    <w:rsid w:val="3921058A"/>
    <w:rsid w:val="39227C66"/>
    <w:rsid w:val="392419DD"/>
    <w:rsid w:val="392D0C78"/>
    <w:rsid w:val="393D580A"/>
    <w:rsid w:val="394337B9"/>
    <w:rsid w:val="394812CB"/>
    <w:rsid w:val="394F6E01"/>
    <w:rsid w:val="3954254C"/>
    <w:rsid w:val="39553CC2"/>
    <w:rsid w:val="39597253"/>
    <w:rsid w:val="39600B2E"/>
    <w:rsid w:val="396C3279"/>
    <w:rsid w:val="396C605C"/>
    <w:rsid w:val="396F65E1"/>
    <w:rsid w:val="397379E5"/>
    <w:rsid w:val="397F7DF9"/>
    <w:rsid w:val="39861BB8"/>
    <w:rsid w:val="398D44F2"/>
    <w:rsid w:val="398D560D"/>
    <w:rsid w:val="39982BE2"/>
    <w:rsid w:val="39A060E9"/>
    <w:rsid w:val="39AA1235"/>
    <w:rsid w:val="39AA784B"/>
    <w:rsid w:val="39AC7C2B"/>
    <w:rsid w:val="39C077DA"/>
    <w:rsid w:val="39CA509C"/>
    <w:rsid w:val="39DA14A6"/>
    <w:rsid w:val="39E0182B"/>
    <w:rsid w:val="39F121EE"/>
    <w:rsid w:val="3A000A1A"/>
    <w:rsid w:val="3A077B35"/>
    <w:rsid w:val="3A08664A"/>
    <w:rsid w:val="3A0D1AF5"/>
    <w:rsid w:val="3A0E7AC7"/>
    <w:rsid w:val="3A15219B"/>
    <w:rsid w:val="3A1744BD"/>
    <w:rsid w:val="3A195A56"/>
    <w:rsid w:val="3A22232F"/>
    <w:rsid w:val="3A293B4A"/>
    <w:rsid w:val="3A30714B"/>
    <w:rsid w:val="3A423B1C"/>
    <w:rsid w:val="3A4266E6"/>
    <w:rsid w:val="3A480F7B"/>
    <w:rsid w:val="3A5676EA"/>
    <w:rsid w:val="3A6F2F4A"/>
    <w:rsid w:val="3A7E0552"/>
    <w:rsid w:val="3A8617FD"/>
    <w:rsid w:val="3A9568F9"/>
    <w:rsid w:val="3AA324BA"/>
    <w:rsid w:val="3AA47229"/>
    <w:rsid w:val="3AAC5542"/>
    <w:rsid w:val="3AB066BC"/>
    <w:rsid w:val="3AC1264D"/>
    <w:rsid w:val="3AC85966"/>
    <w:rsid w:val="3AD00179"/>
    <w:rsid w:val="3AD21C35"/>
    <w:rsid w:val="3AD76CB0"/>
    <w:rsid w:val="3ADA4E1B"/>
    <w:rsid w:val="3AE52414"/>
    <w:rsid w:val="3AE5255B"/>
    <w:rsid w:val="3B17523E"/>
    <w:rsid w:val="3B24247C"/>
    <w:rsid w:val="3B243AE2"/>
    <w:rsid w:val="3B3906DB"/>
    <w:rsid w:val="3B3D293F"/>
    <w:rsid w:val="3B43094F"/>
    <w:rsid w:val="3B461DB3"/>
    <w:rsid w:val="3B465160"/>
    <w:rsid w:val="3B482241"/>
    <w:rsid w:val="3B5007E5"/>
    <w:rsid w:val="3B557F09"/>
    <w:rsid w:val="3B604B9D"/>
    <w:rsid w:val="3B650BD9"/>
    <w:rsid w:val="3B6E3F98"/>
    <w:rsid w:val="3B8044F6"/>
    <w:rsid w:val="3B8816B3"/>
    <w:rsid w:val="3B9971DE"/>
    <w:rsid w:val="3B9E4DA4"/>
    <w:rsid w:val="3BA83CB7"/>
    <w:rsid w:val="3BAF0485"/>
    <w:rsid w:val="3BAF65B5"/>
    <w:rsid w:val="3BB12B8D"/>
    <w:rsid w:val="3BB54303"/>
    <w:rsid w:val="3BBA494B"/>
    <w:rsid w:val="3BCF29B8"/>
    <w:rsid w:val="3BD42821"/>
    <w:rsid w:val="3BF678C1"/>
    <w:rsid w:val="3BF7187F"/>
    <w:rsid w:val="3BF92A1A"/>
    <w:rsid w:val="3BFC7F26"/>
    <w:rsid w:val="3C0405C1"/>
    <w:rsid w:val="3C092637"/>
    <w:rsid w:val="3C0E5831"/>
    <w:rsid w:val="3C105107"/>
    <w:rsid w:val="3C1A0987"/>
    <w:rsid w:val="3C1E389D"/>
    <w:rsid w:val="3C2713C1"/>
    <w:rsid w:val="3C2D575B"/>
    <w:rsid w:val="3C30706C"/>
    <w:rsid w:val="3C3867DB"/>
    <w:rsid w:val="3C5264E1"/>
    <w:rsid w:val="3C553022"/>
    <w:rsid w:val="3C6C5C21"/>
    <w:rsid w:val="3C773FD9"/>
    <w:rsid w:val="3C805FEE"/>
    <w:rsid w:val="3CA41268"/>
    <w:rsid w:val="3CB70D4E"/>
    <w:rsid w:val="3CB86648"/>
    <w:rsid w:val="3CB86E50"/>
    <w:rsid w:val="3CBD20C5"/>
    <w:rsid w:val="3CD23DE8"/>
    <w:rsid w:val="3CDA16BB"/>
    <w:rsid w:val="3CDE490E"/>
    <w:rsid w:val="3CE11327"/>
    <w:rsid w:val="3CEC2B0D"/>
    <w:rsid w:val="3CF27B71"/>
    <w:rsid w:val="3CF91503"/>
    <w:rsid w:val="3D061387"/>
    <w:rsid w:val="3D093F62"/>
    <w:rsid w:val="3D20586D"/>
    <w:rsid w:val="3D226F31"/>
    <w:rsid w:val="3D25242D"/>
    <w:rsid w:val="3D262962"/>
    <w:rsid w:val="3D284C09"/>
    <w:rsid w:val="3D2D3968"/>
    <w:rsid w:val="3D336D57"/>
    <w:rsid w:val="3D3E43F2"/>
    <w:rsid w:val="3D5136C9"/>
    <w:rsid w:val="3D540C00"/>
    <w:rsid w:val="3D650743"/>
    <w:rsid w:val="3D6D706E"/>
    <w:rsid w:val="3D7C0411"/>
    <w:rsid w:val="3D834CC9"/>
    <w:rsid w:val="3D976789"/>
    <w:rsid w:val="3DA3269D"/>
    <w:rsid w:val="3DAD6BFF"/>
    <w:rsid w:val="3DC82C3E"/>
    <w:rsid w:val="3DCE3042"/>
    <w:rsid w:val="3DD17FEC"/>
    <w:rsid w:val="3DDB7686"/>
    <w:rsid w:val="3DDF4976"/>
    <w:rsid w:val="3DF444AF"/>
    <w:rsid w:val="3E0278AD"/>
    <w:rsid w:val="3E07531C"/>
    <w:rsid w:val="3E095304"/>
    <w:rsid w:val="3E0D06D0"/>
    <w:rsid w:val="3E1458D6"/>
    <w:rsid w:val="3E15194C"/>
    <w:rsid w:val="3E1A723B"/>
    <w:rsid w:val="3E1B4D91"/>
    <w:rsid w:val="3E1E5DCC"/>
    <w:rsid w:val="3E226A95"/>
    <w:rsid w:val="3E28178A"/>
    <w:rsid w:val="3E3232C9"/>
    <w:rsid w:val="3E362259"/>
    <w:rsid w:val="3E3B028F"/>
    <w:rsid w:val="3E3C7442"/>
    <w:rsid w:val="3E3F00FF"/>
    <w:rsid w:val="3E4066BF"/>
    <w:rsid w:val="3E497246"/>
    <w:rsid w:val="3E4F3754"/>
    <w:rsid w:val="3E5163F8"/>
    <w:rsid w:val="3E536A41"/>
    <w:rsid w:val="3E5834F0"/>
    <w:rsid w:val="3E585D8A"/>
    <w:rsid w:val="3E60090A"/>
    <w:rsid w:val="3E634ADE"/>
    <w:rsid w:val="3E645F38"/>
    <w:rsid w:val="3E691DE4"/>
    <w:rsid w:val="3E714453"/>
    <w:rsid w:val="3E890EFC"/>
    <w:rsid w:val="3E8B1636"/>
    <w:rsid w:val="3E8E2368"/>
    <w:rsid w:val="3E8E6F3A"/>
    <w:rsid w:val="3E9304D2"/>
    <w:rsid w:val="3E936B8A"/>
    <w:rsid w:val="3E9F4C1E"/>
    <w:rsid w:val="3E9F5F6C"/>
    <w:rsid w:val="3EA23A8A"/>
    <w:rsid w:val="3EAE4242"/>
    <w:rsid w:val="3EB95BC0"/>
    <w:rsid w:val="3EBA050D"/>
    <w:rsid w:val="3EC21816"/>
    <w:rsid w:val="3EC22E8C"/>
    <w:rsid w:val="3ED21997"/>
    <w:rsid w:val="3ED676F0"/>
    <w:rsid w:val="3EDD5A3A"/>
    <w:rsid w:val="3EDF6C03"/>
    <w:rsid w:val="3EE168D2"/>
    <w:rsid w:val="3EE7416F"/>
    <w:rsid w:val="3EE85FAA"/>
    <w:rsid w:val="3EE87E7C"/>
    <w:rsid w:val="3EED7AAC"/>
    <w:rsid w:val="3EEF7373"/>
    <w:rsid w:val="3F160453"/>
    <w:rsid w:val="3F162546"/>
    <w:rsid w:val="3F1B459E"/>
    <w:rsid w:val="3F241757"/>
    <w:rsid w:val="3F2B3ED2"/>
    <w:rsid w:val="3F31398B"/>
    <w:rsid w:val="3F364A10"/>
    <w:rsid w:val="3F41040D"/>
    <w:rsid w:val="3F461157"/>
    <w:rsid w:val="3F491D8B"/>
    <w:rsid w:val="3F535BC9"/>
    <w:rsid w:val="3F543078"/>
    <w:rsid w:val="3F556C67"/>
    <w:rsid w:val="3F5C59BC"/>
    <w:rsid w:val="3F614341"/>
    <w:rsid w:val="3F86473E"/>
    <w:rsid w:val="3F8A204C"/>
    <w:rsid w:val="3F914192"/>
    <w:rsid w:val="3F9578F5"/>
    <w:rsid w:val="3F9625EA"/>
    <w:rsid w:val="3F9D551A"/>
    <w:rsid w:val="3FBC3556"/>
    <w:rsid w:val="3FCC60D3"/>
    <w:rsid w:val="3FD52FF0"/>
    <w:rsid w:val="3FDA1965"/>
    <w:rsid w:val="3FDD523E"/>
    <w:rsid w:val="3FF807C7"/>
    <w:rsid w:val="3FF93E2D"/>
    <w:rsid w:val="400D16E4"/>
    <w:rsid w:val="401004E3"/>
    <w:rsid w:val="40135446"/>
    <w:rsid w:val="401D1B40"/>
    <w:rsid w:val="4021746A"/>
    <w:rsid w:val="40237FF7"/>
    <w:rsid w:val="403107AC"/>
    <w:rsid w:val="40432E41"/>
    <w:rsid w:val="40523294"/>
    <w:rsid w:val="40722751"/>
    <w:rsid w:val="40743885"/>
    <w:rsid w:val="408358A5"/>
    <w:rsid w:val="40856F0A"/>
    <w:rsid w:val="408B5735"/>
    <w:rsid w:val="409110A7"/>
    <w:rsid w:val="40943EFE"/>
    <w:rsid w:val="40A87346"/>
    <w:rsid w:val="40AB7E93"/>
    <w:rsid w:val="40BD4372"/>
    <w:rsid w:val="40E1166D"/>
    <w:rsid w:val="40EE71E7"/>
    <w:rsid w:val="40F06914"/>
    <w:rsid w:val="40F171B7"/>
    <w:rsid w:val="40F57C8D"/>
    <w:rsid w:val="40F714E6"/>
    <w:rsid w:val="41033B42"/>
    <w:rsid w:val="410C3A62"/>
    <w:rsid w:val="41221CF3"/>
    <w:rsid w:val="412A523D"/>
    <w:rsid w:val="4140499D"/>
    <w:rsid w:val="41436080"/>
    <w:rsid w:val="416877FC"/>
    <w:rsid w:val="4169124B"/>
    <w:rsid w:val="4169744C"/>
    <w:rsid w:val="417834C0"/>
    <w:rsid w:val="418C2F12"/>
    <w:rsid w:val="41932AE6"/>
    <w:rsid w:val="419B2B77"/>
    <w:rsid w:val="41A941BF"/>
    <w:rsid w:val="41B64F25"/>
    <w:rsid w:val="41D40027"/>
    <w:rsid w:val="41E47FF9"/>
    <w:rsid w:val="41ED41EC"/>
    <w:rsid w:val="42064DB4"/>
    <w:rsid w:val="42150728"/>
    <w:rsid w:val="42192D62"/>
    <w:rsid w:val="422400E7"/>
    <w:rsid w:val="4224353E"/>
    <w:rsid w:val="42407D1E"/>
    <w:rsid w:val="425409F6"/>
    <w:rsid w:val="425657B4"/>
    <w:rsid w:val="426F521E"/>
    <w:rsid w:val="4273532E"/>
    <w:rsid w:val="427D6A8F"/>
    <w:rsid w:val="42832258"/>
    <w:rsid w:val="428F24DE"/>
    <w:rsid w:val="42903619"/>
    <w:rsid w:val="429258DC"/>
    <w:rsid w:val="42985C39"/>
    <w:rsid w:val="429D28E4"/>
    <w:rsid w:val="42A67BE3"/>
    <w:rsid w:val="42A73BAA"/>
    <w:rsid w:val="42AA0B86"/>
    <w:rsid w:val="42AA100B"/>
    <w:rsid w:val="42BB6B2B"/>
    <w:rsid w:val="42BB716C"/>
    <w:rsid w:val="42D44602"/>
    <w:rsid w:val="42E71D5A"/>
    <w:rsid w:val="42F73431"/>
    <w:rsid w:val="42F740ED"/>
    <w:rsid w:val="43004497"/>
    <w:rsid w:val="4306766E"/>
    <w:rsid w:val="43121095"/>
    <w:rsid w:val="43230186"/>
    <w:rsid w:val="432A4710"/>
    <w:rsid w:val="43327425"/>
    <w:rsid w:val="43383506"/>
    <w:rsid w:val="43616D96"/>
    <w:rsid w:val="436B4C02"/>
    <w:rsid w:val="43707A17"/>
    <w:rsid w:val="4383261B"/>
    <w:rsid w:val="43894189"/>
    <w:rsid w:val="438A186C"/>
    <w:rsid w:val="439A1BF7"/>
    <w:rsid w:val="439B3D67"/>
    <w:rsid w:val="439F6699"/>
    <w:rsid w:val="43AB2AB2"/>
    <w:rsid w:val="43B24FBC"/>
    <w:rsid w:val="43B50E1D"/>
    <w:rsid w:val="43B63317"/>
    <w:rsid w:val="43BC1490"/>
    <w:rsid w:val="43C42563"/>
    <w:rsid w:val="43C44C09"/>
    <w:rsid w:val="43CB789E"/>
    <w:rsid w:val="43DF5857"/>
    <w:rsid w:val="43E465D5"/>
    <w:rsid w:val="43E533DC"/>
    <w:rsid w:val="43EB18D2"/>
    <w:rsid w:val="43F50B13"/>
    <w:rsid w:val="43FB47EC"/>
    <w:rsid w:val="43FD0761"/>
    <w:rsid w:val="43FD0A06"/>
    <w:rsid w:val="4403697C"/>
    <w:rsid w:val="44083E9E"/>
    <w:rsid w:val="440A27EF"/>
    <w:rsid w:val="4417520B"/>
    <w:rsid w:val="44184DAF"/>
    <w:rsid w:val="44263659"/>
    <w:rsid w:val="4432280D"/>
    <w:rsid w:val="44405D41"/>
    <w:rsid w:val="444061B4"/>
    <w:rsid w:val="44597DE9"/>
    <w:rsid w:val="445B7000"/>
    <w:rsid w:val="445D081D"/>
    <w:rsid w:val="445E040B"/>
    <w:rsid w:val="445F008C"/>
    <w:rsid w:val="44605BAE"/>
    <w:rsid w:val="446C661F"/>
    <w:rsid w:val="446F276F"/>
    <w:rsid w:val="447A7414"/>
    <w:rsid w:val="44822CB4"/>
    <w:rsid w:val="448E2989"/>
    <w:rsid w:val="4491538E"/>
    <w:rsid w:val="449539D6"/>
    <w:rsid w:val="44A062F5"/>
    <w:rsid w:val="44A260A0"/>
    <w:rsid w:val="44A27854"/>
    <w:rsid w:val="44AB3B53"/>
    <w:rsid w:val="44CD70A0"/>
    <w:rsid w:val="44D10A36"/>
    <w:rsid w:val="44E85792"/>
    <w:rsid w:val="44E949AC"/>
    <w:rsid w:val="45083688"/>
    <w:rsid w:val="452E458C"/>
    <w:rsid w:val="45301E3E"/>
    <w:rsid w:val="455A5F9A"/>
    <w:rsid w:val="457E3999"/>
    <w:rsid w:val="457E4A75"/>
    <w:rsid w:val="45886B8B"/>
    <w:rsid w:val="459052E4"/>
    <w:rsid w:val="45936845"/>
    <w:rsid w:val="45937D32"/>
    <w:rsid w:val="459446CB"/>
    <w:rsid w:val="45A36192"/>
    <w:rsid w:val="45A46235"/>
    <w:rsid w:val="45A667B5"/>
    <w:rsid w:val="45AD0276"/>
    <w:rsid w:val="45B11CA5"/>
    <w:rsid w:val="45C40E80"/>
    <w:rsid w:val="45CB4869"/>
    <w:rsid w:val="45CE7C41"/>
    <w:rsid w:val="45D220B9"/>
    <w:rsid w:val="45D71049"/>
    <w:rsid w:val="45D952D4"/>
    <w:rsid w:val="45DA1F90"/>
    <w:rsid w:val="45DE56FA"/>
    <w:rsid w:val="45E37DB0"/>
    <w:rsid w:val="45F2332C"/>
    <w:rsid w:val="45F84AE6"/>
    <w:rsid w:val="45FA351B"/>
    <w:rsid w:val="45FA3769"/>
    <w:rsid w:val="45FE6746"/>
    <w:rsid w:val="46061927"/>
    <w:rsid w:val="4608798F"/>
    <w:rsid w:val="46100154"/>
    <w:rsid w:val="461034C9"/>
    <w:rsid w:val="4622312F"/>
    <w:rsid w:val="46244D84"/>
    <w:rsid w:val="462B6964"/>
    <w:rsid w:val="463A0A4A"/>
    <w:rsid w:val="4641088A"/>
    <w:rsid w:val="465930B6"/>
    <w:rsid w:val="466E0AE8"/>
    <w:rsid w:val="466E7E7B"/>
    <w:rsid w:val="466F0408"/>
    <w:rsid w:val="46707F6A"/>
    <w:rsid w:val="46741737"/>
    <w:rsid w:val="46747BD7"/>
    <w:rsid w:val="469A65BB"/>
    <w:rsid w:val="469B606A"/>
    <w:rsid w:val="469C6C0C"/>
    <w:rsid w:val="46AC6450"/>
    <w:rsid w:val="46BA4DBB"/>
    <w:rsid w:val="46BF66E6"/>
    <w:rsid w:val="46C033E2"/>
    <w:rsid w:val="46C5695E"/>
    <w:rsid w:val="46CC3BC1"/>
    <w:rsid w:val="46CD4998"/>
    <w:rsid w:val="46F54559"/>
    <w:rsid w:val="46F5594E"/>
    <w:rsid w:val="46FE5330"/>
    <w:rsid w:val="471F417C"/>
    <w:rsid w:val="472069CD"/>
    <w:rsid w:val="47273C63"/>
    <w:rsid w:val="472D0081"/>
    <w:rsid w:val="472F4709"/>
    <w:rsid w:val="4732540F"/>
    <w:rsid w:val="47472556"/>
    <w:rsid w:val="474743D1"/>
    <w:rsid w:val="47773AE8"/>
    <w:rsid w:val="477F0B7C"/>
    <w:rsid w:val="478149EB"/>
    <w:rsid w:val="47823771"/>
    <w:rsid w:val="4795170F"/>
    <w:rsid w:val="47A635B8"/>
    <w:rsid w:val="47A912AE"/>
    <w:rsid w:val="47AA1755"/>
    <w:rsid w:val="47B17480"/>
    <w:rsid w:val="47B54B7D"/>
    <w:rsid w:val="47B6192F"/>
    <w:rsid w:val="47CE6156"/>
    <w:rsid w:val="47CF39BE"/>
    <w:rsid w:val="47D17D4A"/>
    <w:rsid w:val="47E45C87"/>
    <w:rsid w:val="47EA6E7A"/>
    <w:rsid w:val="47EF0B70"/>
    <w:rsid w:val="47F04768"/>
    <w:rsid w:val="47FE0B59"/>
    <w:rsid w:val="48170AD7"/>
    <w:rsid w:val="4818389B"/>
    <w:rsid w:val="482100A4"/>
    <w:rsid w:val="482F1F56"/>
    <w:rsid w:val="483C3381"/>
    <w:rsid w:val="483D0031"/>
    <w:rsid w:val="484656A6"/>
    <w:rsid w:val="484A430C"/>
    <w:rsid w:val="484D7AF1"/>
    <w:rsid w:val="48512A63"/>
    <w:rsid w:val="48513986"/>
    <w:rsid w:val="48513BF0"/>
    <w:rsid w:val="48532962"/>
    <w:rsid w:val="48543B57"/>
    <w:rsid w:val="485C1C0D"/>
    <w:rsid w:val="485F0DC4"/>
    <w:rsid w:val="486273F6"/>
    <w:rsid w:val="48637C70"/>
    <w:rsid w:val="486E5B82"/>
    <w:rsid w:val="486F00B5"/>
    <w:rsid w:val="48731286"/>
    <w:rsid w:val="48913097"/>
    <w:rsid w:val="4892541E"/>
    <w:rsid w:val="48934699"/>
    <w:rsid w:val="489467BD"/>
    <w:rsid w:val="48A04664"/>
    <w:rsid w:val="48AD385F"/>
    <w:rsid w:val="48B026A6"/>
    <w:rsid w:val="48BD4C99"/>
    <w:rsid w:val="48C55F3F"/>
    <w:rsid w:val="48CD2525"/>
    <w:rsid w:val="48D1078C"/>
    <w:rsid w:val="48D25C74"/>
    <w:rsid w:val="48D30F4D"/>
    <w:rsid w:val="48DC60D8"/>
    <w:rsid w:val="48DF752C"/>
    <w:rsid w:val="48F52BF4"/>
    <w:rsid w:val="48F67111"/>
    <w:rsid w:val="49070D29"/>
    <w:rsid w:val="49155662"/>
    <w:rsid w:val="4916262F"/>
    <w:rsid w:val="49221ACB"/>
    <w:rsid w:val="49253B3C"/>
    <w:rsid w:val="492A622A"/>
    <w:rsid w:val="49372299"/>
    <w:rsid w:val="49421EA2"/>
    <w:rsid w:val="494521D8"/>
    <w:rsid w:val="49460CBE"/>
    <w:rsid w:val="494F14E8"/>
    <w:rsid w:val="495B7202"/>
    <w:rsid w:val="495E0FA3"/>
    <w:rsid w:val="49687D7B"/>
    <w:rsid w:val="49701F07"/>
    <w:rsid w:val="49756225"/>
    <w:rsid w:val="497A79C2"/>
    <w:rsid w:val="49842240"/>
    <w:rsid w:val="498557EB"/>
    <w:rsid w:val="49874B84"/>
    <w:rsid w:val="498A5DB2"/>
    <w:rsid w:val="49A02ABE"/>
    <w:rsid w:val="49B1330E"/>
    <w:rsid w:val="49B32A9D"/>
    <w:rsid w:val="49B941C6"/>
    <w:rsid w:val="49C55273"/>
    <w:rsid w:val="49EF6142"/>
    <w:rsid w:val="49F63F1B"/>
    <w:rsid w:val="4A001150"/>
    <w:rsid w:val="4A0454B6"/>
    <w:rsid w:val="4A0F05E1"/>
    <w:rsid w:val="4A1F4340"/>
    <w:rsid w:val="4A2F79BB"/>
    <w:rsid w:val="4A35189C"/>
    <w:rsid w:val="4A3D0E43"/>
    <w:rsid w:val="4A3F0C13"/>
    <w:rsid w:val="4A4A7434"/>
    <w:rsid w:val="4A4C08B3"/>
    <w:rsid w:val="4A5564F3"/>
    <w:rsid w:val="4A6A0936"/>
    <w:rsid w:val="4A6D7B85"/>
    <w:rsid w:val="4A7518A8"/>
    <w:rsid w:val="4A7F6DEF"/>
    <w:rsid w:val="4A81561D"/>
    <w:rsid w:val="4A836995"/>
    <w:rsid w:val="4A8F099D"/>
    <w:rsid w:val="4AA855E9"/>
    <w:rsid w:val="4AB12664"/>
    <w:rsid w:val="4AC31709"/>
    <w:rsid w:val="4AC65247"/>
    <w:rsid w:val="4AD8719F"/>
    <w:rsid w:val="4AE13B5E"/>
    <w:rsid w:val="4AEC0370"/>
    <w:rsid w:val="4AED5999"/>
    <w:rsid w:val="4B054410"/>
    <w:rsid w:val="4B095F79"/>
    <w:rsid w:val="4B261BB8"/>
    <w:rsid w:val="4B2C5587"/>
    <w:rsid w:val="4B4A7B64"/>
    <w:rsid w:val="4B527ED0"/>
    <w:rsid w:val="4B574B59"/>
    <w:rsid w:val="4B5E6E09"/>
    <w:rsid w:val="4B632667"/>
    <w:rsid w:val="4B6B7EEC"/>
    <w:rsid w:val="4B6F6C81"/>
    <w:rsid w:val="4B7927A8"/>
    <w:rsid w:val="4B880F5D"/>
    <w:rsid w:val="4B8D00DE"/>
    <w:rsid w:val="4B91471B"/>
    <w:rsid w:val="4B9335A4"/>
    <w:rsid w:val="4B971DB8"/>
    <w:rsid w:val="4B984F95"/>
    <w:rsid w:val="4BAD1CFA"/>
    <w:rsid w:val="4BC16DAE"/>
    <w:rsid w:val="4BC51CFB"/>
    <w:rsid w:val="4BC74036"/>
    <w:rsid w:val="4BD310E0"/>
    <w:rsid w:val="4BD511D4"/>
    <w:rsid w:val="4BD913B7"/>
    <w:rsid w:val="4BE971B1"/>
    <w:rsid w:val="4BFA0DB2"/>
    <w:rsid w:val="4C0164B4"/>
    <w:rsid w:val="4C034A36"/>
    <w:rsid w:val="4C0A6401"/>
    <w:rsid w:val="4C1578B3"/>
    <w:rsid w:val="4C214CED"/>
    <w:rsid w:val="4C294C55"/>
    <w:rsid w:val="4C362419"/>
    <w:rsid w:val="4C371E33"/>
    <w:rsid w:val="4C371FC9"/>
    <w:rsid w:val="4C3E31C7"/>
    <w:rsid w:val="4C42646D"/>
    <w:rsid w:val="4C47767B"/>
    <w:rsid w:val="4C52016A"/>
    <w:rsid w:val="4C5A7DE0"/>
    <w:rsid w:val="4C5E3B06"/>
    <w:rsid w:val="4C626DC4"/>
    <w:rsid w:val="4C6D36E4"/>
    <w:rsid w:val="4C7818B5"/>
    <w:rsid w:val="4C822939"/>
    <w:rsid w:val="4C911D81"/>
    <w:rsid w:val="4C917A92"/>
    <w:rsid w:val="4C920BD4"/>
    <w:rsid w:val="4C9F1063"/>
    <w:rsid w:val="4CB50255"/>
    <w:rsid w:val="4CB73588"/>
    <w:rsid w:val="4CD84EAF"/>
    <w:rsid w:val="4CE87274"/>
    <w:rsid w:val="4CF53E39"/>
    <w:rsid w:val="4CF871ED"/>
    <w:rsid w:val="4CF947E7"/>
    <w:rsid w:val="4CFE017B"/>
    <w:rsid w:val="4D073026"/>
    <w:rsid w:val="4D086C6A"/>
    <w:rsid w:val="4D0B6F71"/>
    <w:rsid w:val="4D19572F"/>
    <w:rsid w:val="4D24650B"/>
    <w:rsid w:val="4D2E2EC9"/>
    <w:rsid w:val="4D32299F"/>
    <w:rsid w:val="4D3745E3"/>
    <w:rsid w:val="4D391DC9"/>
    <w:rsid w:val="4D3C1B19"/>
    <w:rsid w:val="4D4460B6"/>
    <w:rsid w:val="4D457564"/>
    <w:rsid w:val="4D4D31AD"/>
    <w:rsid w:val="4D4E2FCC"/>
    <w:rsid w:val="4D5117E6"/>
    <w:rsid w:val="4D560B5D"/>
    <w:rsid w:val="4D7200B8"/>
    <w:rsid w:val="4D737217"/>
    <w:rsid w:val="4D740D3A"/>
    <w:rsid w:val="4D7B77CF"/>
    <w:rsid w:val="4D7C10AD"/>
    <w:rsid w:val="4D8B5760"/>
    <w:rsid w:val="4D8E5767"/>
    <w:rsid w:val="4D995FFD"/>
    <w:rsid w:val="4D9C34B0"/>
    <w:rsid w:val="4DA12239"/>
    <w:rsid w:val="4DA35B9D"/>
    <w:rsid w:val="4DB72040"/>
    <w:rsid w:val="4DB97BF5"/>
    <w:rsid w:val="4DBA241A"/>
    <w:rsid w:val="4DBB7509"/>
    <w:rsid w:val="4DBD1A45"/>
    <w:rsid w:val="4DC76232"/>
    <w:rsid w:val="4DCD4001"/>
    <w:rsid w:val="4DCD6527"/>
    <w:rsid w:val="4DCE7E09"/>
    <w:rsid w:val="4DCF5239"/>
    <w:rsid w:val="4DD82035"/>
    <w:rsid w:val="4DDB4772"/>
    <w:rsid w:val="4DDD3C0D"/>
    <w:rsid w:val="4DE754BD"/>
    <w:rsid w:val="4DEB1EC4"/>
    <w:rsid w:val="4DF56C94"/>
    <w:rsid w:val="4DF774D5"/>
    <w:rsid w:val="4E0719D4"/>
    <w:rsid w:val="4E0E4986"/>
    <w:rsid w:val="4E104044"/>
    <w:rsid w:val="4E1824B5"/>
    <w:rsid w:val="4E210925"/>
    <w:rsid w:val="4E260F58"/>
    <w:rsid w:val="4E2A6243"/>
    <w:rsid w:val="4E2B01A7"/>
    <w:rsid w:val="4E3D3C25"/>
    <w:rsid w:val="4E460E2D"/>
    <w:rsid w:val="4E4674F3"/>
    <w:rsid w:val="4E5A6B1B"/>
    <w:rsid w:val="4E5C2C53"/>
    <w:rsid w:val="4E6660DE"/>
    <w:rsid w:val="4E6A7A13"/>
    <w:rsid w:val="4E7212EF"/>
    <w:rsid w:val="4E911F6A"/>
    <w:rsid w:val="4EB709AB"/>
    <w:rsid w:val="4EBA6A51"/>
    <w:rsid w:val="4EC45D79"/>
    <w:rsid w:val="4EC8762E"/>
    <w:rsid w:val="4EC940CA"/>
    <w:rsid w:val="4ECF6DB2"/>
    <w:rsid w:val="4ED25D57"/>
    <w:rsid w:val="4ED26C10"/>
    <w:rsid w:val="4ED31ECC"/>
    <w:rsid w:val="4EDB0D46"/>
    <w:rsid w:val="4EDC5390"/>
    <w:rsid w:val="4EE025E0"/>
    <w:rsid w:val="4EEC2ACB"/>
    <w:rsid w:val="4EF57E18"/>
    <w:rsid w:val="4EFB35CA"/>
    <w:rsid w:val="4EFE7B0D"/>
    <w:rsid w:val="4F146E23"/>
    <w:rsid w:val="4F182C19"/>
    <w:rsid w:val="4F1D2466"/>
    <w:rsid w:val="4F385200"/>
    <w:rsid w:val="4F4F2FCB"/>
    <w:rsid w:val="4F55244A"/>
    <w:rsid w:val="4F59043F"/>
    <w:rsid w:val="4F597316"/>
    <w:rsid w:val="4F5B5CC1"/>
    <w:rsid w:val="4F626737"/>
    <w:rsid w:val="4F643EA1"/>
    <w:rsid w:val="4F673872"/>
    <w:rsid w:val="4F682990"/>
    <w:rsid w:val="4F6C2111"/>
    <w:rsid w:val="4F6D1809"/>
    <w:rsid w:val="4F784279"/>
    <w:rsid w:val="4F787F02"/>
    <w:rsid w:val="4F7F27D1"/>
    <w:rsid w:val="4F827FC8"/>
    <w:rsid w:val="4F8438A0"/>
    <w:rsid w:val="4F942CE8"/>
    <w:rsid w:val="4F9B080E"/>
    <w:rsid w:val="4FA5528D"/>
    <w:rsid w:val="4FAB0E62"/>
    <w:rsid w:val="4FBC63FF"/>
    <w:rsid w:val="4FD128D9"/>
    <w:rsid w:val="4FD618AD"/>
    <w:rsid w:val="4FE2686B"/>
    <w:rsid w:val="4FF31C40"/>
    <w:rsid w:val="4FF906CB"/>
    <w:rsid w:val="4FFA233B"/>
    <w:rsid w:val="50094227"/>
    <w:rsid w:val="50112737"/>
    <w:rsid w:val="50196FE0"/>
    <w:rsid w:val="504A29D5"/>
    <w:rsid w:val="505379F6"/>
    <w:rsid w:val="50563CA5"/>
    <w:rsid w:val="50564779"/>
    <w:rsid w:val="505958F7"/>
    <w:rsid w:val="506B44EB"/>
    <w:rsid w:val="50741787"/>
    <w:rsid w:val="5076380B"/>
    <w:rsid w:val="50766072"/>
    <w:rsid w:val="50830EAB"/>
    <w:rsid w:val="50831DFD"/>
    <w:rsid w:val="50975B61"/>
    <w:rsid w:val="509A6AC8"/>
    <w:rsid w:val="509F0648"/>
    <w:rsid w:val="50B22A1A"/>
    <w:rsid w:val="50C5650A"/>
    <w:rsid w:val="50C675A2"/>
    <w:rsid w:val="50C85FD4"/>
    <w:rsid w:val="50C94768"/>
    <w:rsid w:val="50DC729E"/>
    <w:rsid w:val="50E2605E"/>
    <w:rsid w:val="50F6248D"/>
    <w:rsid w:val="50F955C7"/>
    <w:rsid w:val="50FA4A45"/>
    <w:rsid w:val="510437BB"/>
    <w:rsid w:val="51065469"/>
    <w:rsid w:val="51124810"/>
    <w:rsid w:val="5130585B"/>
    <w:rsid w:val="51493BA0"/>
    <w:rsid w:val="51535A86"/>
    <w:rsid w:val="515736AA"/>
    <w:rsid w:val="516928BA"/>
    <w:rsid w:val="516B5B39"/>
    <w:rsid w:val="517F4E40"/>
    <w:rsid w:val="51821C19"/>
    <w:rsid w:val="5184675C"/>
    <w:rsid w:val="51877E8F"/>
    <w:rsid w:val="518803FC"/>
    <w:rsid w:val="518C2044"/>
    <w:rsid w:val="519710B3"/>
    <w:rsid w:val="519849A5"/>
    <w:rsid w:val="519C368D"/>
    <w:rsid w:val="51A175AC"/>
    <w:rsid w:val="51D837CE"/>
    <w:rsid w:val="51DF0F81"/>
    <w:rsid w:val="51F148D1"/>
    <w:rsid w:val="51F5493F"/>
    <w:rsid w:val="51F632D2"/>
    <w:rsid w:val="51FC01D0"/>
    <w:rsid w:val="51FE62F4"/>
    <w:rsid w:val="52054B76"/>
    <w:rsid w:val="520E3DEC"/>
    <w:rsid w:val="52155B26"/>
    <w:rsid w:val="52200FAE"/>
    <w:rsid w:val="523E3686"/>
    <w:rsid w:val="52401FCC"/>
    <w:rsid w:val="524D3D4A"/>
    <w:rsid w:val="525A002F"/>
    <w:rsid w:val="527738E9"/>
    <w:rsid w:val="52790E1C"/>
    <w:rsid w:val="528858C6"/>
    <w:rsid w:val="528A5583"/>
    <w:rsid w:val="529452B0"/>
    <w:rsid w:val="529659CE"/>
    <w:rsid w:val="529F704C"/>
    <w:rsid w:val="529F771B"/>
    <w:rsid w:val="52AB1D3F"/>
    <w:rsid w:val="52B95A0E"/>
    <w:rsid w:val="52CA6494"/>
    <w:rsid w:val="52CD6E3E"/>
    <w:rsid w:val="52E245DF"/>
    <w:rsid w:val="52EC1BA1"/>
    <w:rsid w:val="52F46539"/>
    <w:rsid w:val="52FD6949"/>
    <w:rsid w:val="53071712"/>
    <w:rsid w:val="53081CFA"/>
    <w:rsid w:val="53086D5B"/>
    <w:rsid w:val="53126CC9"/>
    <w:rsid w:val="53195062"/>
    <w:rsid w:val="5319653B"/>
    <w:rsid w:val="531965E1"/>
    <w:rsid w:val="531C6F4A"/>
    <w:rsid w:val="532544BB"/>
    <w:rsid w:val="533762AA"/>
    <w:rsid w:val="53377025"/>
    <w:rsid w:val="533B2039"/>
    <w:rsid w:val="53454F7E"/>
    <w:rsid w:val="53494A44"/>
    <w:rsid w:val="53516CCD"/>
    <w:rsid w:val="53532A11"/>
    <w:rsid w:val="535C5EB0"/>
    <w:rsid w:val="536A4271"/>
    <w:rsid w:val="536C0BC6"/>
    <w:rsid w:val="536C6C82"/>
    <w:rsid w:val="538635F8"/>
    <w:rsid w:val="53882725"/>
    <w:rsid w:val="53922D24"/>
    <w:rsid w:val="53926D41"/>
    <w:rsid w:val="5394363B"/>
    <w:rsid w:val="53970B9B"/>
    <w:rsid w:val="53974907"/>
    <w:rsid w:val="53BB5C8F"/>
    <w:rsid w:val="53C71137"/>
    <w:rsid w:val="53E325FA"/>
    <w:rsid w:val="53E740CB"/>
    <w:rsid w:val="53F0709D"/>
    <w:rsid w:val="53F701FA"/>
    <w:rsid w:val="54120265"/>
    <w:rsid w:val="541B18DF"/>
    <w:rsid w:val="541C5647"/>
    <w:rsid w:val="54201BEC"/>
    <w:rsid w:val="54216455"/>
    <w:rsid w:val="542B14A3"/>
    <w:rsid w:val="542C5255"/>
    <w:rsid w:val="543D1FD7"/>
    <w:rsid w:val="5442273A"/>
    <w:rsid w:val="54474055"/>
    <w:rsid w:val="54517386"/>
    <w:rsid w:val="545213DE"/>
    <w:rsid w:val="54563D12"/>
    <w:rsid w:val="545D55D7"/>
    <w:rsid w:val="54690D0C"/>
    <w:rsid w:val="54691D9C"/>
    <w:rsid w:val="546B5B1F"/>
    <w:rsid w:val="54722992"/>
    <w:rsid w:val="54752DFD"/>
    <w:rsid w:val="547B1282"/>
    <w:rsid w:val="547D4220"/>
    <w:rsid w:val="547E266D"/>
    <w:rsid w:val="547F7DD7"/>
    <w:rsid w:val="54834D0B"/>
    <w:rsid w:val="548A4211"/>
    <w:rsid w:val="548D24FD"/>
    <w:rsid w:val="549B24E1"/>
    <w:rsid w:val="54A700F3"/>
    <w:rsid w:val="54AF6D35"/>
    <w:rsid w:val="54B0039C"/>
    <w:rsid w:val="54B01719"/>
    <w:rsid w:val="54BD6D2F"/>
    <w:rsid w:val="54CE43CF"/>
    <w:rsid w:val="54D8103F"/>
    <w:rsid w:val="54D90A0E"/>
    <w:rsid w:val="54EB300A"/>
    <w:rsid w:val="54F2340E"/>
    <w:rsid w:val="54F25B0A"/>
    <w:rsid w:val="54F32A1C"/>
    <w:rsid w:val="54FE11B3"/>
    <w:rsid w:val="54FE507D"/>
    <w:rsid w:val="55014A8C"/>
    <w:rsid w:val="5504309A"/>
    <w:rsid w:val="55043622"/>
    <w:rsid w:val="550D6D2B"/>
    <w:rsid w:val="55212042"/>
    <w:rsid w:val="55282995"/>
    <w:rsid w:val="552B76A6"/>
    <w:rsid w:val="552F4A58"/>
    <w:rsid w:val="553722BB"/>
    <w:rsid w:val="5539154D"/>
    <w:rsid w:val="553D3F98"/>
    <w:rsid w:val="554B6532"/>
    <w:rsid w:val="55577967"/>
    <w:rsid w:val="555D580A"/>
    <w:rsid w:val="556949D2"/>
    <w:rsid w:val="55773B7D"/>
    <w:rsid w:val="557E0965"/>
    <w:rsid w:val="558B2AB3"/>
    <w:rsid w:val="558C50B3"/>
    <w:rsid w:val="5590093E"/>
    <w:rsid w:val="55986B47"/>
    <w:rsid w:val="55A34639"/>
    <w:rsid w:val="55A73A7D"/>
    <w:rsid w:val="55AD0DBD"/>
    <w:rsid w:val="55B2231E"/>
    <w:rsid w:val="55B76055"/>
    <w:rsid w:val="55C4518B"/>
    <w:rsid w:val="55CA62FE"/>
    <w:rsid w:val="55D13217"/>
    <w:rsid w:val="55D75734"/>
    <w:rsid w:val="55DC19D8"/>
    <w:rsid w:val="55E8736E"/>
    <w:rsid w:val="56030468"/>
    <w:rsid w:val="5605380A"/>
    <w:rsid w:val="560D2794"/>
    <w:rsid w:val="560E1076"/>
    <w:rsid w:val="56237B87"/>
    <w:rsid w:val="5637399B"/>
    <w:rsid w:val="56376947"/>
    <w:rsid w:val="56390663"/>
    <w:rsid w:val="563F4F04"/>
    <w:rsid w:val="564133FC"/>
    <w:rsid w:val="56485A04"/>
    <w:rsid w:val="564F6609"/>
    <w:rsid w:val="565002ED"/>
    <w:rsid w:val="565630FD"/>
    <w:rsid w:val="56614662"/>
    <w:rsid w:val="566303D4"/>
    <w:rsid w:val="566E5371"/>
    <w:rsid w:val="566F4CE2"/>
    <w:rsid w:val="5677636E"/>
    <w:rsid w:val="56863844"/>
    <w:rsid w:val="568A17B3"/>
    <w:rsid w:val="568F18AB"/>
    <w:rsid w:val="56942C6D"/>
    <w:rsid w:val="56A22A9E"/>
    <w:rsid w:val="56A5298E"/>
    <w:rsid w:val="56AB6BC1"/>
    <w:rsid w:val="56B370AE"/>
    <w:rsid w:val="56B879E8"/>
    <w:rsid w:val="56C10265"/>
    <w:rsid w:val="56C31D3E"/>
    <w:rsid w:val="56C563A9"/>
    <w:rsid w:val="56D062D1"/>
    <w:rsid w:val="56D862F6"/>
    <w:rsid w:val="56DA7CA9"/>
    <w:rsid w:val="56E17EFB"/>
    <w:rsid w:val="56E66C3C"/>
    <w:rsid w:val="56E733C3"/>
    <w:rsid w:val="56E92864"/>
    <w:rsid w:val="56FC41CF"/>
    <w:rsid w:val="5700182D"/>
    <w:rsid w:val="57033AFD"/>
    <w:rsid w:val="570401A1"/>
    <w:rsid w:val="57073E16"/>
    <w:rsid w:val="57117D50"/>
    <w:rsid w:val="57172821"/>
    <w:rsid w:val="571A238F"/>
    <w:rsid w:val="57223BCF"/>
    <w:rsid w:val="5749762F"/>
    <w:rsid w:val="57534B74"/>
    <w:rsid w:val="575A28D0"/>
    <w:rsid w:val="57662B95"/>
    <w:rsid w:val="576A7DEE"/>
    <w:rsid w:val="57730BED"/>
    <w:rsid w:val="577A21AE"/>
    <w:rsid w:val="577F6901"/>
    <w:rsid w:val="57813EB9"/>
    <w:rsid w:val="57A00349"/>
    <w:rsid w:val="57A12602"/>
    <w:rsid w:val="57AE0BBF"/>
    <w:rsid w:val="57AE738C"/>
    <w:rsid w:val="57B01935"/>
    <w:rsid w:val="57BD2B55"/>
    <w:rsid w:val="57BF7983"/>
    <w:rsid w:val="57C77B88"/>
    <w:rsid w:val="57D26562"/>
    <w:rsid w:val="57D54DF1"/>
    <w:rsid w:val="57EE7220"/>
    <w:rsid w:val="57EF1DB2"/>
    <w:rsid w:val="57F01A1F"/>
    <w:rsid w:val="57F904F4"/>
    <w:rsid w:val="57FA31CC"/>
    <w:rsid w:val="58080A2A"/>
    <w:rsid w:val="58087055"/>
    <w:rsid w:val="580A02BB"/>
    <w:rsid w:val="580E696B"/>
    <w:rsid w:val="58134988"/>
    <w:rsid w:val="584D299A"/>
    <w:rsid w:val="584F2565"/>
    <w:rsid w:val="58504521"/>
    <w:rsid w:val="5866294C"/>
    <w:rsid w:val="586B6745"/>
    <w:rsid w:val="587454D6"/>
    <w:rsid w:val="587E61E3"/>
    <w:rsid w:val="58805967"/>
    <w:rsid w:val="588271A3"/>
    <w:rsid w:val="58853D99"/>
    <w:rsid w:val="589A1643"/>
    <w:rsid w:val="589E4C5F"/>
    <w:rsid w:val="589F7876"/>
    <w:rsid w:val="58A1192F"/>
    <w:rsid w:val="58A33F6D"/>
    <w:rsid w:val="58A8310D"/>
    <w:rsid w:val="58AB4073"/>
    <w:rsid w:val="58B13DE2"/>
    <w:rsid w:val="58B62000"/>
    <w:rsid w:val="58B74DFB"/>
    <w:rsid w:val="58C61207"/>
    <w:rsid w:val="58CE4F43"/>
    <w:rsid w:val="58CF011E"/>
    <w:rsid w:val="58E86ED6"/>
    <w:rsid w:val="58EE2DB5"/>
    <w:rsid w:val="58F47FBC"/>
    <w:rsid w:val="59085991"/>
    <w:rsid w:val="590D79D5"/>
    <w:rsid w:val="590E4314"/>
    <w:rsid w:val="59104EC1"/>
    <w:rsid w:val="591478C8"/>
    <w:rsid w:val="591E661E"/>
    <w:rsid w:val="59224A41"/>
    <w:rsid w:val="592A253F"/>
    <w:rsid w:val="592B19F0"/>
    <w:rsid w:val="592E4C15"/>
    <w:rsid w:val="593020B5"/>
    <w:rsid w:val="593517FF"/>
    <w:rsid w:val="593F315C"/>
    <w:rsid w:val="5952078E"/>
    <w:rsid w:val="595565CB"/>
    <w:rsid w:val="59590190"/>
    <w:rsid w:val="5965495D"/>
    <w:rsid w:val="596B3FBC"/>
    <w:rsid w:val="597A62EA"/>
    <w:rsid w:val="59876344"/>
    <w:rsid w:val="598B7EF5"/>
    <w:rsid w:val="598D7FDD"/>
    <w:rsid w:val="5995659F"/>
    <w:rsid w:val="599A1AEE"/>
    <w:rsid w:val="599E6BEF"/>
    <w:rsid w:val="59A31354"/>
    <w:rsid w:val="59AE325D"/>
    <w:rsid w:val="59CD5B85"/>
    <w:rsid w:val="59D40281"/>
    <w:rsid w:val="59D4130E"/>
    <w:rsid w:val="59D977EF"/>
    <w:rsid w:val="59DF07A0"/>
    <w:rsid w:val="59E83655"/>
    <w:rsid w:val="59F017AB"/>
    <w:rsid w:val="59F13DE7"/>
    <w:rsid w:val="59FB731D"/>
    <w:rsid w:val="59FD29EB"/>
    <w:rsid w:val="59FF47AA"/>
    <w:rsid w:val="5A004918"/>
    <w:rsid w:val="5A105E30"/>
    <w:rsid w:val="5A1B2E96"/>
    <w:rsid w:val="5A237C96"/>
    <w:rsid w:val="5A2A6E28"/>
    <w:rsid w:val="5A2F3A3E"/>
    <w:rsid w:val="5A313AE2"/>
    <w:rsid w:val="5A341028"/>
    <w:rsid w:val="5A382B97"/>
    <w:rsid w:val="5A43796A"/>
    <w:rsid w:val="5A4D3DFC"/>
    <w:rsid w:val="5A4E250A"/>
    <w:rsid w:val="5A505657"/>
    <w:rsid w:val="5A506ED7"/>
    <w:rsid w:val="5A585E39"/>
    <w:rsid w:val="5A5C373F"/>
    <w:rsid w:val="5A626027"/>
    <w:rsid w:val="5A6404A6"/>
    <w:rsid w:val="5A665B57"/>
    <w:rsid w:val="5A6722F7"/>
    <w:rsid w:val="5A6F3868"/>
    <w:rsid w:val="5A762BAE"/>
    <w:rsid w:val="5A937CD3"/>
    <w:rsid w:val="5AA2721A"/>
    <w:rsid w:val="5AAE0936"/>
    <w:rsid w:val="5AB40F0F"/>
    <w:rsid w:val="5ABB0F7F"/>
    <w:rsid w:val="5ABC6271"/>
    <w:rsid w:val="5AC07FE2"/>
    <w:rsid w:val="5AC22338"/>
    <w:rsid w:val="5AC40A48"/>
    <w:rsid w:val="5ACF2DB8"/>
    <w:rsid w:val="5AD43D3C"/>
    <w:rsid w:val="5AD666CA"/>
    <w:rsid w:val="5ADA010E"/>
    <w:rsid w:val="5ADB0D3E"/>
    <w:rsid w:val="5AE15C9F"/>
    <w:rsid w:val="5AEA4A12"/>
    <w:rsid w:val="5AEC5D9C"/>
    <w:rsid w:val="5AF5445C"/>
    <w:rsid w:val="5AFA2DCA"/>
    <w:rsid w:val="5B1035FE"/>
    <w:rsid w:val="5B1D1D45"/>
    <w:rsid w:val="5B1D2C63"/>
    <w:rsid w:val="5B230333"/>
    <w:rsid w:val="5B2A1B28"/>
    <w:rsid w:val="5B324840"/>
    <w:rsid w:val="5B3451D6"/>
    <w:rsid w:val="5B4B0EFE"/>
    <w:rsid w:val="5B4D6833"/>
    <w:rsid w:val="5B531103"/>
    <w:rsid w:val="5B550EE1"/>
    <w:rsid w:val="5B55539F"/>
    <w:rsid w:val="5B596E4F"/>
    <w:rsid w:val="5B5C4E5D"/>
    <w:rsid w:val="5B666BB7"/>
    <w:rsid w:val="5B67216F"/>
    <w:rsid w:val="5B6F14EE"/>
    <w:rsid w:val="5B7146C7"/>
    <w:rsid w:val="5B7C5CE3"/>
    <w:rsid w:val="5B973FF6"/>
    <w:rsid w:val="5B9E70C8"/>
    <w:rsid w:val="5BA14F5D"/>
    <w:rsid w:val="5BB61795"/>
    <w:rsid w:val="5BB948D9"/>
    <w:rsid w:val="5BBC186A"/>
    <w:rsid w:val="5BBF343D"/>
    <w:rsid w:val="5BC62396"/>
    <w:rsid w:val="5BCB117E"/>
    <w:rsid w:val="5BD25BCE"/>
    <w:rsid w:val="5BE0241D"/>
    <w:rsid w:val="5BE571FB"/>
    <w:rsid w:val="5BF0644F"/>
    <w:rsid w:val="5BFA3DE4"/>
    <w:rsid w:val="5BFA5F62"/>
    <w:rsid w:val="5C0D63F8"/>
    <w:rsid w:val="5C103844"/>
    <w:rsid w:val="5C15380E"/>
    <w:rsid w:val="5C1C66DC"/>
    <w:rsid w:val="5C233975"/>
    <w:rsid w:val="5C280AF2"/>
    <w:rsid w:val="5C495D94"/>
    <w:rsid w:val="5C514D30"/>
    <w:rsid w:val="5C595513"/>
    <w:rsid w:val="5C643B73"/>
    <w:rsid w:val="5C6E61E6"/>
    <w:rsid w:val="5C746B87"/>
    <w:rsid w:val="5C755CFC"/>
    <w:rsid w:val="5C837853"/>
    <w:rsid w:val="5C8758CD"/>
    <w:rsid w:val="5C891B88"/>
    <w:rsid w:val="5C8C5156"/>
    <w:rsid w:val="5C94499C"/>
    <w:rsid w:val="5C9B581C"/>
    <w:rsid w:val="5CA22F78"/>
    <w:rsid w:val="5CAD42B5"/>
    <w:rsid w:val="5CAF0CBF"/>
    <w:rsid w:val="5CBF08F6"/>
    <w:rsid w:val="5CCA40F9"/>
    <w:rsid w:val="5CCB4070"/>
    <w:rsid w:val="5CCD4E1D"/>
    <w:rsid w:val="5CD162EB"/>
    <w:rsid w:val="5CD67ACC"/>
    <w:rsid w:val="5CDD1AC3"/>
    <w:rsid w:val="5CDF06A2"/>
    <w:rsid w:val="5CE465A7"/>
    <w:rsid w:val="5CF10B1F"/>
    <w:rsid w:val="5CF57482"/>
    <w:rsid w:val="5CFD4D6A"/>
    <w:rsid w:val="5D006567"/>
    <w:rsid w:val="5D2C4CF0"/>
    <w:rsid w:val="5D302E74"/>
    <w:rsid w:val="5D474002"/>
    <w:rsid w:val="5D476E62"/>
    <w:rsid w:val="5D597142"/>
    <w:rsid w:val="5D6B287E"/>
    <w:rsid w:val="5D6F4701"/>
    <w:rsid w:val="5D840199"/>
    <w:rsid w:val="5D9006AE"/>
    <w:rsid w:val="5D906D1C"/>
    <w:rsid w:val="5D95343D"/>
    <w:rsid w:val="5D9B1AB5"/>
    <w:rsid w:val="5DAE6740"/>
    <w:rsid w:val="5DB579A7"/>
    <w:rsid w:val="5DB908ED"/>
    <w:rsid w:val="5DC6362F"/>
    <w:rsid w:val="5DC64EDF"/>
    <w:rsid w:val="5DC9579F"/>
    <w:rsid w:val="5DCF44C5"/>
    <w:rsid w:val="5DD14176"/>
    <w:rsid w:val="5DD61B56"/>
    <w:rsid w:val="5DD76FB0"/>
    <w:rsid w:val="5DE05F81"/>
    <w:rsid w:val="5DEE1F8F"/>
    <w:rsid w:val="5DF51C07"/>
    <w:rsid w:val="5E047BB0"/>
    <w:rsid w:val="5E063665"/>
    <w:rsid w:val="5E0A6F08"/>
    <w:rsid w:val="5E200C5B"/>
    <w:rsid w:val="5E2128D1"/>
    <w:rsid w:val="5E2A49D2"/>
    <w:rsid w:val="5E2B3ED6"/>
    <w:rsid w:val="5E2F77DC"/>
    <w:rsid w:val="5E3E7389"/>
    <w:rsid w:val="5E424CED"/>
    <w:rsid w:val="5E430752"/>
    <w:rsid w:val="5E45216B"/>
    <w:rsid w:val="5E5B2DB9"/>
    <w:rsid w:val="5E5E467B"/>
    <w:rsid w:val="5E601BC1"/>
    <w:rsid w:val="5E63481C"/>
    <w:rsid w:val="5E635E34"/>
    <w:rsid w:val="5E6B2B6B"/>
    <w:rsid w:val="5E6E339C"/>
    <w:rsid w:val="5E9473DC"/>
    <w:rsid w:val="5E96186A"/>
    <w:rsid w:val="5EAD6426"/>
    <w:rsid w:val="5EC9042C"/>
    <w:rsid w:val="5ECC4011"/>
    <w:rsid w:val="5ED5197C"/>
    <w:rsid w:val="5EDA5732"/>
    <w:rsid w:val="5EE74460"/>
    <w:rsid w:val="5EE87F32"/>
    <w:rsid w:val="5EEB3229"/>
    <w:rsid w:val="5EFB5688"/>
    <w:rsid w:val="5F002442"/>
    <w:rsid w:val="5F026F52"/>
    <w:rsid w:val="5F066D0D"/>
    <w:rsid w:val="5F095758"/>
    <w:rsid w:val="5F096963"/>
    <w:rsid w:val="5F0D6BF7"/>
    <w:rsid w:val="5F337006"/>
    <w:rsid w:val="5F3E35AE"/>
    <w:rsid w:val="5F5558F0"/>
    <w:rsid w:val="5F677C15"/>
    <w:rsid w:val="5F6E4FAE"/>
    <w:rsid w:val="5F73578E"/>
    <w:rsid w:val="5F76678D"/>
    <w:rsid w:val="5F775A4A"/>
    <w:rsid w:val="5F7D0298"/>
    <w:rsid w:val="5F8248AD"/>
    <w:rsid w:val="5F887BA4"/>
    <w:rsid w:val="5F946D6B"/>
    <w:rsid w:val="5F96034B"/>
    <w:rsid w:val="5FA91015"/>
    <w:rsid w:val="5FAB77C9"/>
    <w:rsid w:val="5FB975A0"/>
    <w:rsid w:val="5FBE79D7"/>
    <w:rsid w:val="5FC403FA"/>
    <w:rsid w:val="5FCF13F2"/>
    <w:rsid w:val="5FD50DC4"/>
    <w:rsid w:val="5FD76CB9"/>
    <w:rsid w:val="5FE23B0F"/>
    <w:rsid w:val="5FE27B16"/>
    <w:rsid w:val="5FEA27CE"/>
    <w:rsid w:val="5FF954A5"/>
    <w:rsid w:val="600D591C"/>
    <w:rsid w:val="60142644"/>
    <w:rsid w:val="60195D2A"/>
    <w:rsid w:val="602B4403"/>
    <w:rsid w:val="603042E3"/>
    <w:rsid w:val="60327D03"/>
    <w:rsid w:val="604B60EE"/>
    <w:rsid w:val="60522829"/>
    <w:rsid w:val="6053156F"/>
    <w:rsid w:val="6053343E"/>
    <w:rsid w:val="60560788"/>
    <w:rsid w:val="60574CE6"/>
    <w:rsid w:val="60692FED"/>
    <w:rsid w:val="60790078"/>
    <w:rsid w:val="60863776"/>
    <w:rsid w:val="608A368A"/>
    <w:rsid w:val="60913EE4"/>
    <w:rsid w:val="60944287"/>
    <w:rsid w:val="609D47D2"/>
    <w:rsid w:val="609E4ED8"/>
    <w:rsid w:val="60A8003E"/>
    <w:rsid w:val="60AD0CD8"/>
    <w:rsid w:val="60B02753"/>
    <w:rsid w:val="60B35894"/>
    <w:rsid w:val="60BF18AD"/>
    <w:rsid w:val="60CE5244"/>
    <w:rsid w:val="60D04C71"/>
    <w:rsid w:val="60EA76AD"/>
    <w:rsid w:val="60F02784"/>
    <w:rsid w:val="60F30FB3"/>
    <w:rsid w:val="60F87F86"/>
    <w:rsid w:val="60FB700F"/>
    <w:rsid w:val="60FC44C6"/>
    <w:rsid w:val="610934CF"/>
    <w:rsid w:val="61191FCF"/>
    <w:rsid w:val="612D1DC2"/>
    <w:rsid w:val="613122B6"/>
    <w:rsid w:val="613248C2"/>
    <w:rsid w:val="613D1064"/>
    <w:rsid w:val="613D5A65"/>
    <w:rsid w:val="613F4C8F"/>
    <w:rsid w:val="6141594E"/>
    <w:rsid w:val="614414E9"/>
    <w:rsid w:val="614B5E87"/>
    <w:rsid w:val="614E7A11"/>
    <w:rsid w:val="61593E56"/>
    <w:rsid w:val="615B1ADC"/>
    <w:rsid w:val="615D2C3C"/>
    <w:rsid w:val="616034F8"/>
    <w:rsid w:val="616644B5"/>
    <w:rsid w:val="61685232"/>
    <w:rsid w:val="616D5ED2"/>
    <w:rsid w:val="617323C0"/>
    <w:rsid w:val="619767C4"/>
    <w:rsid w:val="61992617"/>
    <w:rsid w:val="619F6579"/>
    <w:rsid w:val="61A94843"/>
    <w:rsid w:val="61B33BCC"/>
    <w:rsid w:val="61BD14D2"/>
    <w:rsid w:val="61C01610"/>
    <w:rsid w:val="61CB5D77"/>
    <w:rsid w:val="61CF3F0C"/>
    <w:rsid w:val="61E87787"/>
    <w:rsid w:val="61ED44B4"/>
    <w:rsid w:val="61EE0221"/>
    <w:rsid w:val="61FD7C8A"/>
    <w:rsid w:val="61FF3FB6"/>
    <w:rsid w:val="62022784"/>
    <w:rsid w:val="620305C9"/>
    <w:rsid w:val="6203694E"/>
    <w:rsid w:val="623949A3"/>
    <w:rsid w:val="623B0AC5"/>
    <w:rsid w:val="62421F29"/>
    <w:rsid w:val="62644775"/>
    <w:rsid w:val="62652F38"/>
    <w:rsid w:val="6267290D"/>
    <w:rsid w:val="6268576F"/>
    <w:rsid w:val="627342C4"/>
    <w:rsid w:val="62804BB0"/>
    <w:rsid w:val="62874D9D"/>
    <w:rsid w:val="62904769"/>
    <w:rsid w:val="629D6B24"/>
    <w:rsid w:val="62A13E0E"/>
    <w:rsid w:val="62B55B4B"/>
    <w:rsid w:val="62C01780"/>
    <w:rsid w:val="62C25F4D"/>
    <w:rsid w:val="62CD10C4"/>
    <w:rsid w:val="62D84442"/>
    <w:rsid w:val="62DB3782"/>
    <w:rsid w:val="62DF473F"/>
    <w:rsid w:val="62E20965"/>
    <w:rsid w:val="62E6229B"/>
    <w:rsid w:val="62E81145"/>
    <w:rsid w:val="62F35F2A"/>
    <w:rsid w:val="62F56ECE"/>
    <w:rsid w:val="62F91E2F"/>
    <w:rsid w:val="62FC4D40"/>
    <w:rsid w:val="62FC6373"/>
    <w:rsid w:val="62FE34BA"/>
    <w:rsid w:val="63190735"/>
    <w:rsid w:val="631D3812"/>
    <w:rsid w:val="632731C4"/>
    <w:rsid w:val="63382826"/>
    <w:rsid w:val="633A6D37"/>
    <w:rsid w:val="633F1DC1"/>
    <w:rsid w:val="634339BF"/>
    <w:rsid w:val="634628F9"/>
    <w:rsid w:val="634951E2"/>
    <w:rsid w:val="63497180"/>
    <w:rsid w:val="635E35D3"/>
    <w:rsid w:val="6376586D"/>
    <w:rsid w:val="63787D35"/>
    <w:rsid w:val="637E6251"/>
    <w:rsid w:val="638C5F5C"/>
    <w:rsid w:val="639668BF"/>
    <w:rsid w:val="63A46ABC"/>
    <w:rsid w:val="63BE426D"/>
    <w:rsid w:val="63C82686"/>
    <w:rsid w:val="63C9045F"/>
    <w:rsid w:val="63CF7553"/>
    <w:rsid w:val="63DB19CC"/>
    <w:rsid w:val="63E95AF8"/>
    <w:rsid w:val="63EB57FC"/>
    <w:rsid w:val="63FC2ED2"/>
    <w:rsid w:val="63FC4308"/>
    <w:rsid w:val="64071F40"/>
    <w:rsid w:val="640C43A3"/>
    <w:rsid w:val="6415406D"/>
    <w:rsid w:val="641859B9"/>
    <w:rsid w:val="641C799B"/>
    <w:rsid w:val="642210B0"/>
    <w:rsid w:val="64254CB0"/>
    <w:rsid w:val="642A1BAB"/>
    <w:rsid w:val="642B7061"/>
    <w:rsid w:val="642C231D"/>
    <w:rsid w:val="64341A34"/>
    <w:rsid w:val="6437004D"/>
    <w:rsid w:val="64395BAE"/>
    <w:rsid w:val="643B244A"/>
    <w:rsid w:val="64447D4D"/>
    <w:rsid w:val="644744A4"/>
    <w:rsid w:val="64493208"/>
    <w:rsid w:val="644E3B1D"/>
    <w:rsid w:val="6462126E"/>
    <w:rsid w:val="64622B03"/>
    <w:rsid w:val="64665AF2"/>
    <w:rsid w:val="64673D5B"/>
    <w:rsid w:val="646C7B37"/>
    <w:rsid w:val="64805981"/>
    <w:rsid w:val="64980B22"/>
    <w:rsid w:val="64997639"/>
    <w:rsid w:val="64A7680F"/>
    <w:rsid w:val="64A82BEF"/>
    <w:rsid w:val="64A9431A"/>
    <w:rsid w:val="64B039D9"/>
    <w:rsid w:val="64B722C3"/>
    <w:rsid w:val="64C9225A"/>
    <w:rsid w:val="64D527F5"/>
    <w:rsid w:val="64E41F7E"/>
    <w:rsid w:val="64E56C57"/>
    <w:rsid w:val="64F4704E"/>
    <w:rsid w:val="64FD419B"/>
    <w:rsid w:val="65087C10"/>
    <w:rsid w:val="65152774"/>
    <w:rsid w:val="65163BD7"/>
    <w:rsid w:val="651A0420"/>
    <w:rsid w:val="65257A27"/>
    <w:rsid w:val="65345392"/>
    <w:rsid w:val="653A7E22"/>
    <w:rsid w:val="65417631"/>
    <w:rsid w:val="654939F5"/>
    <w:rsid w:val="654C3E1E"/>
    <w:rsid w:val="65540444"/>
    <w:rsid w:val="6559560E"/>
    <w:rsid w:val="655A3DFF"/>
    <w:rsid w:val="655B69DD"/>
    <w:rsid w:val="655C1C41"/>
    <w:rsid w:val="655D5724"/>
    <w:rsid w:val="657C2832"/>
    <w:rsid w:val="658063C9"/>
    <w:rsid w:val="658577BB"/>
    <w:rsid w:val="65966C08"/>
    <w:rsid w:val="659E3FE9"/>
    <w:rsid w:val="65A74EAE"/>
    <w:rsid w:val="65AF125A"/>
    <w:rsid w:val="65B7031D"/>
    <w:rsid w:val="65BC73F2"/>
    <w:rsid w:val="65BD435F"/>
    <w:rsid w:val="65C06201"/>
    <w:rsid w:val="65C0770C"/>
    <w:rsid w:val="65C63D1C"/>
    <w:rsid w:val="65C75BDB"/>
    <w:rsid w:val="65CC3413"/>
    <w:rsid w:val="65E4192C"/>
    <w:rsid w:val="65F309DA"/>
    <w:rsid w:val="65FB38FC"/>
    <w:rsid w:val="66055517"/>
    <w:rsid w:val="66080782"/>
    <w:rsid w:val="661309D6"/>
    <w:rsid w:val="662657F8"/>
    <w:rsid w:val="66273171"/>
    <w:rsid w:val="66295D74"/>
    <w:rsid w:val="662C0299"/>
    <w:rsid w:val="662F4AE3"/>
    <w:rsid w:val="66315207"/>
    <w:rsid w:val="6641798A"/>
    <w:rsid w:val="6646703B"/>
    <w:rsid w:val="664E3800"/>
    <w:rsid w:val="66512B17"/>
    <w:rsid w:val="665F3A92"/>
    <w:rsid w:val="666A61D3"/>
    <w:rsid w:val="66720B62"/>
    <w:rsid w:val="66754A8D"/>
    <w:rsid w:val="669273F8"/>
    <w:rsid w:val="66937BC1"/>
    <w:rsid w:val="66970174"/>
    <w:rsid w:val="669D0815"/>
    <w:rsid w:val="66B16422"/>
    <w:rsid w:val="66BA49F0"/>
    <w:rsid w:val="66C46385"/>
    <w:rsid w:val="66CD5B0C"/>
    <w:rsid w:val="66DB00EE"/>
    <w:rsid w:val="66E05191"/>
    <w:rsid w:val="66E50738"/>
    <w:rsid w:val="66F07D2A"/>
    <w:rsid w:val="66F2028E"/>
    <w:rsid w:val="670732B5"/>
    <w:rsid w:val="67106E36"/>
    <w:rsid w:val="67124631"/>
    <w:rsid w:val="671A00CE"/>
    <w:rsid w:val="671D1489"/>
    <w:rsid w:val="6735046D"/>
    <w:rsid w:val="67387BA3"/>
    <w:rsid w:val="673C27F4"/>
    <w:rsid w:val="67442B3C"/>
    <w:rsid w:val="67641F61"/>
    <w:rsid w:val="67801946"/>
    <w:rsid w:val="67817825"/>
    <w:rsid w:val="678E4EB0"/>
    <w:rsid w:val="679A0878"/>
    <w:rsid w:val="67AA0D4E"/>
    <w:rsid w:val="67AA310B"/>
    <w:rsid w:val="67B36644"/>
    <w:rsid w:val="67B66E52"/>
    <w:rsid w:val="67BE6A13"/>
    <w:rsid w:val="67BF08BB"/>
    <w:rsid w:val="67C45EFD"/>
    <w:rsid w:val="67CD4B36"/>
    <w:rsid w:val="67CD73B6"/>
    <w:rsid w:val="67CF5126"/>
    <w:rsid w:val="67DA0A7D"/>
    <w:rsid w:val="67DB523B"/>
    <w:rsid w:val="67E24173"/>
    <w:rsid w:val="67E80A42"/>
    <w:rsid w:val="67EC12BC"/>
    <w:rsid w:val="67F831A7"/>
    <w:rsid w:val="67FA016C"/>
    <w:rsid w:val="67FC4610"/>
    <w:rsid w:val="68043850"/>
    <w:rsid w:val="680E10E1"/>
    <w:rsid w:val="68177DB0"/>
    <w:rsid w:val="68211225"/>
    <w:rsid w:val="68270E35"/>
    <w:rsid w:val="68333B7C"/>
    <w:rsid w:val="6837747C"/>
    <w:rsid w:val="6842279A"/>
    <w:rsid w:val="6847365C"/>
    <w:rsid w:val="68484066"/>
    <w:rsid w:val="68534A2F"/>
    <w:rsid w:val="685468EB"/>
    <w:rsid w:val="685864B0"/>
    <w:rsid w:val="68590D9D"/>
    <w:rsid w:val="685C6116"/>
    <w:rsid w:val="68790E17"/>
    <w:rsid w:val="687E5B29"/>
    <w:rsid w:val="68842ECE"/>
    <w:rsid w:val="68843A52"/>
    <w:rsid w:val="688B440C"/>
    <w:rsid w:val="68974AA2"/>
    <w:rsid w:val="68B6706F"/>
    <w:rsid w:val="68C11E9F"/>
    <w:rsid w:val="68C34EC9"/>
    <w:rsid w:val="68CB629A"/>
    <w:rsid w:val="68DB74FC"/>
    <w:rsid w:val="68E24A92"/>
    <w:rsid w:val="68E27273"/>
    <w:rsid w:val="68ED1381"/>
    <w:rsid w:val="68F30934"/>
    <w:rsid w:val="68F42914"/>
    <w:rsid w:val="68F82363"/>
    <w:rsid w:val="691D3C9C"/>
    <w:rsid w:val="693C7F56"/>
    <w:rsid w:val="69437D50"/>
    <w:rsid w:val="694E6EC7"/>
    <w:rsid w:val="694F5336"/>
    <w:rsid w:val="69986117"/>
    <w:rsid w:val="69AE4A37"/>
    <w:rsid w:val="69B41E94"/>
    <w:rsid w:val="69BD0F3C"/>
    <w:rsid w:val="69C577D5"/>
    <w:rsid w:val="69C73EC5"/>
    <w:rsid w:val="69D1644D"/>
    <w:rsid w:val="69D3517A"/>
    <w:rsid w:val="69E20D27"/>
    <w:rsid w:val="69F8101F"/>
    <w:rsid w:val="69FC3BB4"/>
    <w:rsid w:val="69FF1901"/>
    <w:rsid w:val="6A07636C"/>
    <w:rsid w:val="6A200CCC"/>
    <w:rsid w:val="6A255349"/>
    <w:rsid w:val="6A3147F4"/>
    <w:rsid w:val="6A3C3C9E"/>
    <w:rsid w:val="6A40357A"/>
    <w:rsid w:val="6A465FD1"/>
    <w:rsid w:val="6A5E17C5"/>
    <w:rsid w:val="6A6B5C21"/>
    <w:rsid w:val="6A6E0C6D"/>
    <w:rsid w:val="6A72186B"/>
    <w:rsid w:val="6A7617CD"/>
    <w:rsid w:val="6A765537"/>
    <w:rsid w:val="6A7907AC"/>
    <w:rsid w:val="6A7E0FCB"/>
    <w:rsid w:val="6A7E155A"/>
    <w:rsid w:val="6A7F695B"/>
    <w:rsid w:val="6A801A76"/>
    <w:rsid w:val="6A95342C"/>
    <w:rsid w:val="6A981A6C"/>
    <w:rsid w:val="6AA433FF"/>
    <w:rsid w:val="6AAC4E2D"/>
    <w:rsid w:val="6AAC661D"/>
    <w:rsid w:val="6AB73766"/>
    <w:rsid w:val="6AC82BEB"/>
    <w:rsid w:val="6ACB3E6F"/>
    <w:rsid w:val="6AD17F82"/>
    <w:rsid w:val="6AD47E0D"/>
    <w:rsid w:val="6AD91A70"/>
    <w:rsid w:val="6AE15034"/>
    <w:rsid w:val="6AE67370"/>
    <w:rsid w:val="6AED32A0"/>
    <w:rsid w:val="6AF04C37"/>
    <w:rsid w:val="6AF04D03"/>
    <w:rsid w:val="6AF767CB"/>
    <w:rsid w:val="6AFA45E0"/>
    <w:rsid w:val="6AFC20F3"/>
    <w:rsid w:val="6AFD57E4"/>
    <w:rsid w:val="6AFD7D99"/>
    <w:rsid w:val="6B027A39"/>
    <w:rsid w:val="6B087CE7"/>
    <w:rsid w:val="6B0E2B64"/>
    <w:rsid w:val="6B105EB3"/>
    <w:rsid w:val="6B3130E0"/>
    <w:rsid w:val="6B31409B"/>
    <w:rsid w:val="6B3552E5"/>
    <w:rsid w:val="6B414F7D"/>
    <w:rsid w:val="6B581C57"/>
    <w:rsid w:val="6B595DE5"/>
    <w:rsid w:val="6B801B21"/>
    <w:rsid w:val="6B843887"/>
    <w:rsid w:val="6B881FD9"/>
    <w:rsid w:val="6B8D25E0"/>
    <w:rsid w:val="6BB237B2"/>
    <w:rsid w:val="6BBC1DFF"/>
    <w:rsid w:val="6BCB5526"/>
    <w:rsid w:val="6BD114B8"/>
    <w:rsid w:val="6BD43A2E"/>
    <w:rsid w:val="6BDD7468"/>
    <w:rsid w:val="6BE62817"/>
    <w:rsid w:val="6BEC6FB1"/>
    <w:rsid w:val="6BF1029D"/>
    <w:rsid w:val="6C072A9D"/>
    <w:rsid w:val="6C0E4904"/>
    <w:rsid w:val="6C13192C"/>
    <w:rsid w:val="6C171066"/>
    <w:rsid w:val="6C1E5396"/>
    <w:rsid w:val="6C28225A"/>
    <w:rsid w:val="6C320CB9"/>
    <w:rsid w:val="6C332BBB"/>
    <w:rsid w:val="6C3D7DBC"/>
    <w:rsid w:val="6C431A80"/>
    <w:rsid w:val="6C5916B3"/>
    <w:rsid w:val="6C5C66DC"/>
    <w:rsid w:val="6C615D4E"/>
    <w:rsid w:val="6C63310F"/>
    <w:rsid w:val="6C6523C2"/>
    <w:rsid w:val="6C672305"/>
    <w:rsid w:val="6C933533"/>
    <w:rsid w:val="6C9B0027"/>
    <w:rsid w:val="6CA627AF"/>
    <w:rsid w:val="6CAC5DAB"/>
    <w:rsid w:val="6CB22267"/>
    <w:rsid w:val="6CB9765B"/>
    <w:rsid w:val="6CB97913"/>
    <w:rsid w:val="6CBB0026"/>
    <w:rsid w:val="6CBB1444"/>
    <w:rsid w:val="6CBE4BDB"/>
    <w:rsid w:val="6CC94CF7"/>
    <w:rsid w:val="6CCF06B0"/>
    <w:rsid w:val="6CD0011D"/>
    <w:rsid w:val="6CF66007"/>
    <w:rsid w:val="6D107723"/>
    <w:rsid w:val="6D175A63"/>
    <w:rsid w:val="6D250990"/>
    <w:rsid w:val="6D287B35"/>
    <w:rsid w:val="6D2A1A06"/>
    <w:rsid w:val="6D2E3518"/>
    <w:rsid w:val="6D3A7726"/>
    <w:rsid w:val="6D3C1A9D"/>
    <w:rsid w:val="6D560752"/>
    <w:rsid w:val="6D5A78D9"/>
    <w:rsid w:val="6D5D174D"/>
    <w:rsid w:val="6D6463F0"/>
    <w:rsid w:val="6D6D1DB5"/>
    <w:rsid w:val="6D73438D"/>
    <w:rsid w:val="6D796AF0"/>
    <w:rsid w:val="6D801DFC"/>
    <w:rsid w:val="6D805264"/>
    <w:rsid w:val="6D840E6F"/>
    <w:rsid w:val="6D9427D2"/>
    <w:rsid w:val="6D9D02D8"/>
    <w:rsid w:val="6DA36F7E"/>
    <w:rsid w:val="6DD1664A"/>
    <w:rsid w:val="6DD16B8C"/>
    <w:rsid w:val="6DD42B06"/>
    <w:rsid w:val="6DEC4EC4"/>
    <w:rsid w:val="6DEF4A07"/>
    <w:rsid w:val="6DF351E8"/>
    <w:rsid w:val="6E03242B"/>
    <w:rsid w:val="6E033EB5"/>
    <w:rsid w:val="6E0D049F"/>
    <w:rsid w:val="6E1207DA"/>
    <w:rsid w:val="6E2C7A2D"/>
    <w:rsid w:val="6E3260F6"/>
    <w:rsid w:val="6E377684"/>
    <w:rsid w:val="6E4623A9"/>
    <w:rsid w:val="6E687451"/>
    <w:rsid w:val="6E743C86"/>
    <w:rsid w:val="6E756D2F"/>
    <w:rsid w:val="6E7F1AC4"/>
    <w:rsid w:val="6E8837A1"/>
    <w:rsid w:val="6E8D5BE4"/>
    <w:rsid w:val="6EAF1CEE"/>
    <w:rsid w:val="6EB10EE9"/>
    <w:rsid w:val="6EB27133"/>
    <w:rsid w:val="6EB83B44"/>
    <w:rsid w:val="6EB86285"/>
    <w:rsid w:val="6EC926E7"/>
    <w:rsid w:val="6ED02320"/>
    <w:rsid w:val="6EDC5ABF"/>
    <w:rsid w:val="6EE12B7C"/>
    <w:rsid w:val="6EE906BF"/>
    <w:rsid w:val="6EE93A01"/>
    <w:rsid w:val="6EEB0962"/>
    <w:rsid w:val="6EEB1C99"/>
    <w:rsid w:val="6EEE6E02"/>
    <w:rsid w:val="6EFD21B7"/>
    <w:rsid w:val="6F0A68C2"/>
    <w:rsid w:val="6F0C48FB"/>
    <w:rsid w:val="6F0E78F7"/>
    <w:rsid w:val="6F184C95"/>
    <w:rsid w:val="6F1D0EA8"/>
    <w:rsid w:val="6F35668E"/>
    <w:rsid w:val="6F3704EC"/>
    <w:rsid w:val="6F4311DC"/>
    <w:rsid w:val="6F466E42"/>
    <w:rsid w:val="6F4B280B"/>
    <w:rsid w:val="6F523CE1"/>
    <w:rsid w:val="6F542A9C"/>
    <w:rsid w:val="6F5C2BB9"/>
    <w:rsid w:val="6F5D67B8"/>
    <w:rsid w:val="6F723050"/>
    <w:rsid w:val="6F7735C1"/>
    <w:rsid w:val="6F8332A4"/>
    <w:rsid w:val="6FA175BA"/>
    <w:rsid w:val="6FAA2602"/>
    <w:rsid w:val="6FAF2840"/>
    <w:rsid w:val="6FB266D9"/>
    <w:rsid w:val="6FCA2726"/>
    <w:rsid w:val="6FCF32EB"/>
    <w:rsid w:val="6FD355E4"/>
    <w:rsid w:val="6FD5656D"/>
    <w:rsid w:val="6FD62E28"/>
    <w:rsid w:val="6FDB4482"/>
    <w:rsid w:val="6FDD064F"/>
    <w:rsid w:val="6FDD0FF9"/>
    <w:rsid w:val="6FE35FA8"/>
    <w:rsid w:val="6FE4666D"/>
    <w:rsid w:val="6FEC0A6C"/>
    <w:rsid w:val="6FF01860"/>
    <w:rsid w:val="6FF05D6E"/>
    <w:rsid w:val="70043E05"/>
    <w:rsid w:val="701E4E84"/>
    <w:rsid w:val="702658D0"/>
    <w:rsid w:val="702E1C33"/>
    <w:rsid w:val="703B37C1"/>
    <w:rsid w:val="703B5143"/>
    <w:rsid w:val="703D427E"/>
    <w:rsid w:val="7049257F"/>
    <w:rsid w:val="705237F4"/>
    <w:rsid w:val="7062164D"/>
    <w:rsid w:val="7064345E"/>
    <w:rsid w:val="70656555"/>
    <w:rsid w:val="706B1152"/>
    <w:rsid w:val="70722CD6"/>
    <w:rsid w:val="70725776"/>
    <w:rsid w:val="70781B60"/>
    <w:rsid w:val="707B7F1D"/>
    <w:rsid w:val="707D2366"/>
    <w:rsid w:val="707E18CE"/>
    <w:rsid w:val="708109BD"/>
    <w:rsid w:val="70972A5B"/>
    <w:rsid w:val="70A97C08"/>
    <w:rsid w:val="70AA0656"/>
    <w:rsid w:val="70B30C6A"/>
    <w:rsid w:val="70C56AEC"/>
    <w:rsid w:val="70CB69DA"/>
    <w:rsid w:val="70CB7750"/>
    <w:rsid w:val="70D53CD2"/>
    <w:rsid w:val="70EA35FE"/>
    <w:rsid w:val="70EC21DF"/>
    <w:rsid w:val="70F014CA"/>
    <w:rsid w:val="70FD34A4"/>
    <w:rsid w:val="711D0F2D"/>
    <w:rsid w:val="71223B91"/>
    <w:rsid w:val="71255679"/>
    <w:rsid w:val="712A1CA0"/>
    <w:rsid w:val="71376FFD"/>
    <w:rsid w:val="713879D9"/>
    <w:rsid w:val="713F78FB"/>
    <w:rsid w:val="715415D4"/>
    <w:rsid w:val="715F3F9E"/>
    <w:rsid w:val="716B4C43"/>
    <w:rsid w:val="716D24EE"/>
    <w:rsid w:val="7171380E"/>
    <w:rsid w:val="71757B37"/>
    <w:rsid w:val="717639DF"/>
    <w:rsid w:val="71770252"/>
    <w:rsid w:val="717F248A"/>
    <w:rsid w:val="71900617"/>
    <w:rsid w:val="719B05F3"/>
    <w:rsid w:val="71A131CF"/>
    <w:rsid w:val="71A622B6"/>
    <w:rsid w:val="71A91091"/>
    <w:rsid w:val="71AD077F"/>
    <w:rsid w:val="71AF67C8"/>
    <w:rsid w:val="71C04B1E"/>
    <w:rsid w:val="71C318A0"/>
    <w:rsid w:val="71CD7FEE"/>
    <w:rsid w:val="71D3618B"/>
    <w:rsid w:val="71E54EB5"/>
    <w:rsid w:val="71F2639F"/>
    <w:rsid w:val="71FD3521"/>
    <w:rsid w:val="72010E5C"/>
    <w:rsid w:val="7204161D"/>
    <w:rsid w:val="72044269"/>
    <w:rsid w:val="720500E3"/>
    <w:rsid w:val="72080F93"/>
    <w:rsid w:val="72166F99"/>
    <w:rsid w:val="72181F3D"/>
    <w:rsid w:val="721A2750"/>
    <w:rsid w:val="72204BB5"/>
    <w:rsid w:val="723434FA"/>
    <w:rsid w:val="72376D99"/>
    <w:rsid w:val="7241472D"/>
    <w:rsid w:val="724536F6"/>
    <w:rsid w:val="724D7138"/>
    <w:rsid w:val="724E2C23"/>
    <w:rsid w:val="725B604E"/>
    <w:rsid w:val="725E7E4D"/>
    <w:rsid w:val="726D639C"/>
    <w:rsid w:val="72724582"/>
    <w:rsid w:val="727477B5"/>
    <w:rsid w:val="72751C5C"/>
    <w:rsid w:val="727F2311"/>
    <w:rsid w:val="728B7350"/>
    <w:rsid w:val="729A4ABF"/>
    <w:rsid w:val="729F13D7"/>
    <w:rsid w:val="72A003C9"/>
    <w:rsid w:val="72A746DA"/>
    <w:rsid w:val="72AD2501"/>
    <w:rsid w:val="72B271B0"/>
    <w:rsid w:val="72B70E99"/>
    <w:rsid w:val="72B80EC3"/>
    <w:rsid w:val="72BB6A99"/>
    <w:rsid w:val="72C2764E"/>
    <w:rsid w:val="72D1695C"/>
    <w:rsid w:val="72D51E85"/>
    <w:rsid w:val="72D975FE"/>
    <w:rsid w:val="72E3327C"/>
    <w:rsid w:val="72E55A1A"/>
    <w:rsid w:val="72EF355C"/>
    <w:rsid w:val="72FB298D"/>
    <w:rsid w:val="72FD13CD"/>
    <w:rsid w:val="72FE3A6B"/>
    <w:rsid w:val="73016C6C"/>
    <w:rsid w:val="730B275F"/>
    <w:rsid w:val="730F18CB"/>
    <w:rsid w:val="73117F04"/>
    <w:rsid w:val="731A59D5"/>
    <w:rsid w:val="73261228"/>
    <w:rsid w:val="732D370C"/>
    <w:rsid w:val="7332167D"/>
    <w:rsid w:val="733657F9"/>
    <w:rsid w:val="73390795"/>
    <w:rsid w:val="733E7B94"/>
    <w:rsid w:val="73420097"/>
    <w:rsid w:val="73452B0A"/>
    <w:rsid w:val="73481696"/>
    <w:rsid w:val="734C5DA8"/>
    <w:rsid w:val="735003B2"/>
    <w:rsid w:val="735026AD"/>
    <w:rsid w:val="73523246"/>
    <w:rsid w:val="735570D6"/>
    <w:rsid w:val="735C1DE3"/>
    <w:rsid w:val="736B5D75"/>
    <w:rsid w:val="736D6D1E"/>
    <w:rsid w:val="736E0A9D"/>
    <w:rsid w:val="73702670"/>
    <w:rsid w:val="7370347A"/>
    <w:rsid w:val="737A0A83"/>
    <w:rsid w:val="737A7CA3"/>
    <w:rsid w:val="738B5D18"/>
    <w:rsid w:val="738C7AA3"/>
    <w:rsid w:val="738E21D0"/>
    <w:rsid w:val="73993230"/>
    <w:rsid w:val="739B218A"/>
    <w:rsid w:val="73A50601"/>
    <w:rsid w:val="73AB4914"/>
    <w:rsid w:val="73B01D02"/>
    <w:rsid w:val="73B95765"/>
    <w:rsid w:val="73BA2620"/>
    <w:rsid w:val="73BA77D7"/>
    <w:rsid w:val="73BB44D0"/>
    <w:rsid w:val="73C13D03"/>
    <w:rsid w:val="73C97917"/>
    <w:rsid w:val="73CD0B57"/>
    <w:rsid w:val="73D04602"/>
    <w:rsid w:val="73D474AA"/>
    <w:rsid w:val="73E6253B"/>
    <w:rsid w:val="73E83E74"/>
    <w:rsid w:val="73F6298B"/>
    <w:rsid w:val="74087A3D"/>
    <w:rsid w:val="74157BA1"/>
    <w:rsid w:val="741F3E6F"/>
    <w:rsid w:val="742F742F"/>
    <w:rsid w:val="74363FF3"/>
    <w:rsid w:val="743B2E8D"/>
    <w:rsid w:val="74451B55"/>
    <w:rsid w:val="744C6E66"/>
    <w:rsid w:val="7458092C"/>
    <w:rsid w:val="745A2252"/>
    <w:rsid w:val="746060E2"/>
    <w:rsid w:val="746720BD"/>
    <w:rsid w:val="74716B2D"/>
    <w:rsid w:val="74732DE4"/>
    <w:rsid w:val="74746A67"/>
    <w:rsid w:val="74844F09"/>
    <w:rsid w:val="749C45F5"/>
    <w:rsid w:val="749F5689"/>
    <w:rsid w:val="74AB38A0"/>
    <w:rsid w:val="74B526C9"/>
    <w:rsid w:val="74CD31F1"/>
    <w:rsid w:val="74D1382F"/>
    <w:rsid w:val="74D5683F"/>
    <w:rsid w:val="74DA782D"/>
    <w:rsid w:val="74E065CF"/>
    <w:rsid w:val="74E518F1"/>
    <w:rsid w:val="74EA61D8"/>
    <w:rsid w:val="74EB7F31"/>
    <w:rsid w:val="74F31EA8"/>
    <w:rsid w:val="74F44E90"/>
    <w:rsid w:val="74F55BA0"/>
    <w:rsid w:val="74F65194"/>
    <w:rsid w:val="750939AD"/>
    <w:rsid w:val="75131203"/>
    <w:rsid w:val="7514275A"/>
    <w:rsid w:val="7523358B"/>
    <w:rsid w:val="75283D66"/>
    <w:rsid w:val="752C6618"/>
    <w:rsid w:val="752E4B29"/>
    <w:rsid w:val="75314EF4"/>
    <w:rsid w:val="75327EEE"/>
    <w:rsid w:val="75397323"/>
    <w:rsid w:val="753B488F"/>
    <w:rsid w:val="75445BD8"/>
    <w:rsid w:val="754646CE"/>
    <w:rsid w:val="75495E69"/>
    <w:rsid w:val="75496D49"/>
    <w:rsid w:val="754D6767"/>
    <w:rsid w:val="756F7037"/>
    <w:rsid w:val="75720C70"/>
    <w:rsid w:val="7578195A"/>
    <w:rsid w:val="757825FA"/>
    <w:rsid w:val="757852EF"/>
    <w:rsid w:val="75792386"/>
    <w:rsid w:val="757C0085"/>
    <w:rsid w:val="75934AC9"/>
    <w:rsid w:val="75A45693"/>
    <w:rsid w:val="75AB5E69"/>
    <w:rsid w:val="75B13F79"/>
    <w:rsid w:val="75B74DDA"/>
    <w:rsid w:val="75BB0F45"/>
    <w:rsid w:val="75C76183"/>
    <w:rsid w:val="75C84482"/>
    <w:rsid w:val="75CF3B9C"/>
    <w:rsid w:val="75D5475D"/>
    <w:rsid w:val="75D6588C"/>
    <w:rsid w:val="75D72144"/>
    <w:rsid w:val="75D77BC5"/>
    <w:rsid w:val="75DD195B"/>
    <w:rsid w:val="75EC6C5A"/>
    <w:rsid w:val="75ED4C4E"/>
    <w:rsid w:val="75FE28D5"/>
    <w:rsid w:val="760B40E7"/>
    <w:rsid w:val="761807A9"/>
    <w:rsid w:val="761E7C9A"/>
    <w:rsid w:val="762808E5"/>
    <w:rsid w:val="762C336A"/>
    <w:rsid w:val="76361DBC"/>
    <w:rsid w:val="76386EC0"/>
    <w:rsid w:val="76465A73"/>
    <w:rsid w:val="764B10F4"/>
    <w:rsid w:val="764C3B34"/>
    <w:rsid w:val="764E4077"/>
    <w:rsid w:val="76561DDF"/>
    <w:rsid w:val="765701F5"/>
    <w:rsid w:val="765B5635"/>
    <w:rsid w:val="765D3194"/>
    <w:rsid w:val="765F611E"/>
    <w:rsid w:val="766B6302"/>
    <w:rsid w:val="76780223"/>
    <w:rsid w:val="76AC04B3"/>
    <w:rsid w:val="76B11147"/>
    <w:rsid w:val="76B871E7"/>
    <w:rsid w:val="76C25031"/>
    <w:rsid w:val="76CD4609"/>
    <w:rsid w:val="76CE7108"/>
    <w:rsid w:val="76CF2B7E"/>
    <w:rsid w:val="76D10C43"/>
    <w:rsid w:val="76D42B1C"/>
    <w:rsid w:val="76D62FEB"/>
    <w:rsid w:val="76E17787"/>
    <w:rsid w:val="76E304A1"/>
    <w:rsid w:val="76E93BA4"/>
    <w:rsid w:val="76FE757D"/>
    <w:rsid w:val="77087EC1"/>
    <w:rsid w:val="770B3D77"/>
    <w:rsid w:val="770D48B6"/>
    <w:rsid w:val="77141253"/>
    <w:rsid w:val="771D1CB3"/>
    <w:rsid w:val="772208C9"/>
    <w:rsid w:val="773411EF"/>
    <w:rsid w:val="773A4290"/>
    <w:rsid w:val="773A5416"/>
    <w:rsid w:val="774B0E20"/>
    <w:rsid w:val="77563039"/>
    <w:rsid w:val="77601051"/>
    <w:rsid w:val="778214F4"/>
    <w:rsid w:val="778625AE"/>
    <w:rsid w:val="778756CE"/>
    <w:rsid w:val="778D2C48"/>
    <w:rsid w:val="778E7BEF"/>
    <w:rsid w:val="779163E5"/>
    <w:rsid w:val="779954B0"/>
    <w:rsid w:val="77C517BA"/>
    <w:rsid w:val="77EC7559"/>
    <w:rsid w:val="77EE5C63"/>
    <w:rsid w:val="77F22991"/>
    <w:rsid w:val="77FA1F60"/>
    <w:rsid w:val="78004EBE"/>
    <w:rsid w:val="780A6A2B"/>
    <w:rsid w:val="780B1C4F"/>
    <w:rsid w:val="781D40D3"/>
    <w:rsid w:val="781F7A67"/>
    <w:rsid w:val="782577D6"/>
    <w:rsid w:val="784565C0"/>
    <w:rsid w:val="78460A81"/>
    <w:rsid w:val="78496360"/>
    <w:rsid w:val="784968AD"/>
    <w:rsid w:val="784B53E9"/>
    <w:rsid w:val="785F36D4"/>
    <w:rsid w:val="786B2C95"/>
    <w:rsid w:val="787415AC"/>
    <w:rsid w:val="7889533E"/>
    <w:rsid w:val="78966797"/>
    <w:rsid w:val="7898018F"/>
    <w:rsid w:val="78A13178"/>
    <w:rsid w:val="78A62D32"/>
    <w:rsid w:val="78AA1103"/>
    <w:rsid w:val="78AC43CE"/>
    <w:rsid w:val="78AE41C3"/>
    <w:rsid w:val="78C43421"/>
    <w:rsid w:val="78C73AE2"/>
    <w:rsid w:val="78CD55DC"/>
    <w:rsid w:val="78D83714"/>
    <w:rsid w:val="78D97C46"/>
    <w:rsid w:val="78E34942"/>
    <w:rsid w:val="78E44815"/>
    <w:rsid w:val="78E567E2"/>
    <w:rsid w:val="78E93DA1"/>
    <w:rsid w:val="78EC31A0"/>
    <w:rsid w:val="78EF1473"/>
    <w:rsid w:val="78F32549"/>
    <w:rsid w:val="78F52E63"/>
    <w:rsid w:val="78F8540B"/>
    <w:rsid w:val="790A5309"/>
    <w:rsid w:val="790A6EE6"/>
    <w:rsid w:val="79100DC5"/>
    <w:rsid w:val="79105652"/>
    <w:rsid w:val="793D4F9F"/>
    <w:rsid w:val="79411538"/>
    <w:rsid w:val="79526F48"/>
    <w:rsid w:val="795966E7"/>
    <w:rsid w:val="795F447B"/>
    <w:rsid w:val="7961352B"/>
    <w:rsid w:val="79635821"/>
    <w:rsid w:val="79643637"/>
    <w:rsid w:val="797B7F8D"/>
    <w:rsid w:val="79860EDC"/>
    <w:rsid w:val="7998006A"/>
    <w:rsid w:val="79A75601"/>
    <w:rsid w:val="79AE00B6"/>
    <w:rsid w:val="79AF4C63"/>
    <w:rsid w:val="79B50D1F"/>
    <w:rsid w:val="79C605B3"/>
    <w:rsid w:val="79D24399"/>
    <w:rsid w:val="79FE345B"/>
    <w:rsid w:val="7A1123D2"/>
    <w:rsid w:val="7A131687"/>
    <w:rsid w:val="7A142F2D"/>
    <w:rsid w:val="7A14411A"/>
    <w:rsid w:val="7A1866C3"/>
    <w:rsid w:val="7A2560B7"/>
    <w:rsid w:val="7A273261"/>
    <w:rsid w:val="7A2E32EA"/>
    <w:rsid w:val="7A2E3AE0"/>
    <w:rsid w:val="7A350C42"/>
    <w:rsid w:val="7A361ABC"/>
    <w:rsid w:val="7A467973"/>
    <w:rsid w:val="7A5229F6"/>
    <w:rsid w:val="7A53564C"/>
    <w:rsid w:val="7A5617A3"/>
    <w:rsid w:val="7A696191"/>
    <w:rsid w:val="7A7C1E15"/>
    <w:rsid w:val="7A7C41F8"/>
    <w:rsid w:val="7A8163ED"/>
    <w:rsid w:val="7A950FA9"/>
    <w:rsid w:val="7AA30579"/>
    <w:rsid w:val="7AA830C6"/>
    <w:rsid w:val="7AB2481F"/>
    <w:rsid w:val="7AB82A12"/>
    <w:rsid w:val="7AB91A6E"/>
    <w:rsid w:val="7AB92498"/>
    <w:rsid w:val="7ABB67E6"/>
    <w:rsid w:val="7AC10566"/>
    <w:rsid w:val="7AC36038"/>
    <w:rsid w:val="7AC61073"/>
    <w:rsid w:val="7AC82042"/>
    <w:rsid w:val="7ADE239C"/>
    <w:rsid w:val="7AE51540"/>
    <w:rsid w:val="7AF221EB"/>
    <w:rsid w:val="7B01142D"/>
    <w:rsid w:val="7B1D2C81"/>
    <w:rsid w:val="7B3F729F"/>
    <w:rsid w:val="7B4053F0"/>
    <w:rsid w:val="7B44071E"/>
    <w:rsid w:val="7B453BA8"/>
    <w:rsid w:val="7B4C3AD7"/>
    <w:rsid w:val="7B4E35D6"/>
    <w:rsid w:val="7B561F2C"/>
    <w:rsid w:val="7B5A100D"/>
    <w:rsid w:val="7B5B5398"/>
    <w:rsid w:val="7B5E5483"/>
    <w:rsid w:val="7B610489"/>
    <w:rsid w:val="7B67598C"/>
    <w:rsid w:val="7B727337"/>
    <w:rsid w:val="7B8D6015"/>
    <w:rsid w:val="7B8F5BA2"/>
    <w:rsid w:val="7B924742"/>
    <w:rsid w:val="7B974DC0"/>
    <w:rsid w:val="7B9C7B65"/>
    <w:rsid w:val="7BB55A35"/>
    <w:rsid w:val="7BBF3F74"/>
    <w:rsid w:val="7BC92965"/>
    <w:rsid w:val="7BDF331B"/>
    <w:rsid w:val="7BE04694"/>
    <w:rsid w:val="7BF726FB"/>
    <w:rsid w:val="7BFB7D5C"/>
    <w:rsid w:val="7BFD3ACF"/>
    <w:rsid w:val="7C010CE6"/>
    <w:rsid w:val="7C0260A4"/>
    <w:rsid w:val="7C12314D"/>
    <w:rsid w:val="7C1675ED"/>
    <w:rsid w:val="7C1865A9"/>
    <w:rsid w:val="7C1B3A20"/>
    <w:rsid w:val="7C1F339A"/>
    <w:rsid w:val="7C2D2BF7"/>
    <w:rsid w:val="7C3736DE"/>
    <w:rsid w:val="7C3E12C1"/>
    <w:rsid w:val="7C417280"/>
    <w:rsid w:val="7C4529DA"/>
    <w:rsid w:val="7C493D57"/>
    <w:rsid w:val="7C4F4039"/>
    <w:rsid w:val="7C512F30"/>
    <w:rsid w:val="7C524AE1"/>
    <w:rsid w:val="7C5A4C4A"/>
    <w:rsid w:val="7C5C182E"/>
    <w:rsid w:val="7C5F27A1"/>
    <w:rsid w:val="7C6269CF"/>
    <w:rsid w:val="7C6900E1"/>
    <w:rsid w:val="7C6B4970"/>
    <w:rsid w:val="7C731168"/>
    <w:rsid w:val="7C744DB6"/>
    <w:rsid w:val="7C7837AB"/>
    <w:rsid w:val="7C794E7F"/>
    <w:rsid w:val="7C8539DD"/>
    <w:rsid w:val="7C9C180B"/>
    <w:rsid w:val="7CA00CD5"/>
    <w:rsid w:val="7CA73E91"/>
    <w:rsid w:val="7CAC64E4"/>
    <w:rsid w:val="7CC143ED"/>
    <w:rsid w:val="7CD07829"/>
    <w:rsid w:val="7CD829CE"/>
    <w:rsid w:val="7CDB61E5"/>
    <w:rsid w:val="7CED4048"/>
    <w:rsid w:val="7CF36A8A"/>
    <w:rsid w:val="7CFA7639"/>
    <w:rsid w:val="7D086805"/>
    <w:rsid w:val="7D1440AE"/>
    <w:rsid w:val="7D1D43EA"/>
    <w:rsid w:val="7D1E7046"/>
    <w:rsid w:val="7D212A6C"/>
    <w:rsid w:val="7D396632"/>
    <w:rsid w:val="7D411BA6"/>
    <w:rsid w:val="7D4A0E92"/>
    <w:rsid w:val="7D6335B6"/>
    <w:rsid w:val="7D7444C2"/>
    <w:rsid w:val="7D7528D7"/>
    <w:rsid w:val="7D7C5E0C"/>
    <w:rsid w:val="7D7F1222"/>
    <w:rsid w:val="7D823D69"/>
    <w:rsid w:val="7D8C2721"/>
    <w:rsid w:val="7D8E16E4"/>
    <w:rsid w:val="7DA014FF"/>
    <w:rsid w:val="7DA3356D"/>
    <w:rsid w:val="7DA43127"/>
    <w:rsid w:val="7DA9496C"/>
    <w:rsid w:val="7DB2701C"/>
    <w:rsid w:val="7DB353E2"/>
    <w:rsid w:val="7DB425F5"/>
    <w:rsid w:val="7DCB598F"/>
    <w:rsid w:val="7DE307F5"/>
    <w:rsid w:val="7DEB5B87"/>
    <w:rsid w:val="7DED36EB"/>
    <w:rsid w:val="7DEE3290"/>
    <w:rsid w:val="7DF4057D"/>
    <w:rsid w:val="7DFC0FA2"/>
    <w:rsid w:val="7DFC7F40"/>
    <w:rsid w:val="7E0261B3"/>
    <w:rsid w:val="7E113358"/>
    <w:rsid w:val="7E1B402A"/>
    <w:rsid w:val="7E1D218F"/>
    <w:rsid w:val="7E1F24B2"/>
    <w:rsid w:val="7E2F3EDE"/>
    <w:rsid w:val="7E3F2256"/>
    <w:rsid w:val="7E477C6D"/>
    <w:rsid w:val="7E49575B"/>
    <w:rsid w:val="7E503EAD"/>
    <w:rsid w:val="7E5961BA"/>
    <w:rsid w:val="7E671295"/>
    <w:rsid w:val="7E7837E3"/>
    <w:rsid w:val="7EB57025"/>
    <w:rsid w:val="7ECA646E"/>
    <w:rsid w:val="7ECB48BE"/>
    <w:rsid w:val="7EDB08DD"/>
    <w:rsid w:val="7EF86342"/>
    <w:rsid w:val="7F0216AA"/>
    <w:rsid w:val="7F022F18"/>
    <w:rsid w:val="7F0638B3"/>
    <w:rsid w:val="7F0E1DF3"/>
    <w:rsid w:val="7F120A4F"/>
    <w:rsid w:val="7F1564A3"/>
    <w:rsid w:val="7F1D14DF"/>
    <w:rsid w:val="7F2218F8"/>
    <w:rsid w:val="7F40298B"/>
    <w:rsid w:val="7F437B43"/>
    <w:rsid w:val="7F4579ED"/>
    <w:rsid w:val="7F4E3B67"/>
    <w:rsid w:val="7F596FF3"/>
    <w:rsid w:val="7F5C70CC"/>
    <w:rsid w:val="7F6C3FDF"/>
    <w:rsid w:val="7F6D5EFA"/>
    <w:rsid w:val="7F7076BF"/>
    <w:rsid w:val="7F7B2E94"/>
    <w:rsid w:val="7F8F2F8F"/>
    <w:rsid w:val="7F906A27"/>
    <w:rsid w:val="7F9134F8"/>
    <w:rsid w:val="7F9C51A7"/>
    <w:rsid w:val="7FAC5469"/>
    <w:rsid w:val="7FC342DB"/>
    <w:rsid w:val="7FD16BE4"/>
    <w:rsid w:val="7FD360E9"/>
    <w:rsid w:val="7FE66003"/>
    <w:rsid w:val="7FE86F06"/>
    <w:rsid w:val="7FEC2C88"/>
    <w:rsid w:val="7FF349F2"/>
    <w:rsid w:val="7FFA663E"/>
    <w:rsid w:val="7FFE6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580" w:lineRule="exact"/>
      <w:ind w:firstLine="883" w:firstLineChars="200"/>
      <w:outlineLvl w:val="0"/>
    </w:pPr>
    <w:rPr>
      <w:rFonts w:eastAsia="黑体"/>
      <w:kern w:val="44"/>
      <w:sz w:val="32"/>
    </w:rPr>
  </w:style>
  <w:style w:type="paragraph" w:styleId="4">
    <w:name w:val="heading 2"/>
    <w:basedOn w:val="1"/>
    <w:next w:val="1"/>
    <w:link w:val="52"/>
    <w:unhideWhenUsed/>
    <w:qFormat/>
    <w:uiPriority w:val="0"/>
    <w:pPr>
      <w:keepNext/>
      <w:keepLines/>
      <w:spacing w:before="120" w:line="580" w:lineRule="exact"/>
      <w:ind w:firstLine="880" w:firstLineChars="200"/>
      <w:outlineLvl w:val="1"/>
    </w:pPr>
    <w:rPr>
      <w:rFonts w:ascii="Arial" w:hAnsi="Arial" w:eastAsia="楷体"/>
      <w:sz w:val="32"/>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7">
    <w:name w:val="index 8"/>
    <w:basedOn w:val="1"/>
    <w:next w:val="1"/>
    <w:qFormat/>
    <w:uiPriority w:val="0"/>
    <w:pPr>
      <w:ind w:left="2940"/>
    </w:pPr>
  </w:style>
  <w:style w:type="paragraph" w:styleId="8">
    <w:name w:val="Normal Indent"/>
    <w:basedOn w:val="1"/>
    <w:qFormat/>
    <w:uiPriority w:val="0"/>
    <w:pPr>
      <w:ind w:firstLine="420" w:firstLineChars="200"/>
    </w:pPr>
  </w:style>
  <w:style w:type="paragraph" w:styleId="9">
    <w:name w:val="annotation text"/>
    <w:basedOn w:val="1"/>
    <w:link w:val="46"/>
    <w:qFormat/>
    <w:uiPriority w:val="0"/>
    <w:pPr>
      <w:jc w:val="left"/>
    </w:pPr>
  </w:style>
  <w:style w:type="paragraph" w:styleId="10">
    <w:name w:val="Body Text Indent"/>
    <w:basedOn w:val="1"/>
    <w:next w:val="11"/>
    <w:qFormat/>
    <w:uiPriority w:val="0"/>
    <w:rPr>
      <w:rFonts w:ascii="仿宋_GB2312"/>
      <w:szCs w:val="32"/>
    </w:rPr>
  </w:style>
  <w:style w:type="paragraph" w:styleId="11">
    <w:name w:val="Body Text First Indent 2"/>
    <w:basedOn w:val="10"/>
    <w:next w:val="1"/>
    <w:qFormat/>
    <w:uiPriority w:val="0"/>
    <w:pPr>
      <w:ind w:firstLine="420"/>
    </w:pPr>
  </w:style>
  <w:style w:type="paragraph" w:styleId="12">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3">
    <w:name w:val="toc 3"/>
    <w:basedOn w:val="1"/>
    <w:next w:val="1"/>
    <w:qFormat/>
    <w:uiPriority w:val="39"/>
    <w:pPr>
      <w:ind w:left="840" w:leftChars="400"/>
    </w:pPr>
  </w:style>
  <w:style w:type="paragraph" w:styleId="14">
    <w:name w:val="Plain Text"/>
    <w:basedOn w:val="1"/>
    <w:next w:val="7"/>
    <w:link w:val="45"/>
    <w:qFormat/>
    <w:uiPriority w:val="0"/>
    <w:rPr>
      <w:rFonts w:ascii="宋体" w:hAnsi="Courier New" w:cs="Courier New"/>
      <w:szCs w:val="21"/>
    </w:rPr>
  </w:style>
  <w:style w:type="paragraph" w:styleId="15">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6">
    <w:name w:val="Balloon Text"/>
    <w:basedOn w:val="1"/>
    <w:link w:val="44"/>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qFormat/>
    <w:uiPriority w:val="39"/>
  </w:style>
  <w:style w:type="paragraph" w:styleId="20">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21">
    <w:name w:val="Subtitle"/>
    <w:basedOn w:val="1"/>
    <w:next w:val="1"/>
    <w:qFormat/>
    <w:uiPriority w:val="0"/>
    <w:pPr>
      <w:spacing w:before="240" w:after="60" w:line="312" w:lineRule="auto"/>
      <w:jc w:val="center"/>
      <w:outlineLvl w:val="1"/>
    </w:pPr>
    <w:rPr>
      <w:rFonts w:ascii="Calibri Light" w:hAnsi="Calibri Light"/>
      <w:b/>
      <w:bCs/>
      <w:kern w:val="28"/>
      <w:sz w:val="32"/>
      <w:szCs w:val="32"/>
    </w:rPr>
  </w:style>
  <w:style w:type="paragraph" w:styleId="22">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3">
    <w:name w:val="toc 2"/>
    <w:basedOn w:val="1"/>
    <w:next w:val="1"/>
    <w:qFormat/>
    <w:uiPriority w:val="39"/>
    <w:pPr>
      <w:ind w:left="420" w:leftChars="200"/>
    </w:pPr>
  </w:style>
  <w:style w:type="paragraph" w:styleId="24">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25">
    <w:name w:val="Normal (Web)"/>
    <w:basedOn w:val="1"/>
    <w:qFormat/>
    <w:uiPriority w:val="0"/>
    <w:pPr>
      <w:spacing w:beforeAutospacing="1" w:afterAutospacing="1"/>
      <w:jc w:val="left"/>
    </w:pPr>
    <w:rPr>
      <w:kern w:val="0"/>
      <w:sz w:val="24"/>
    </w:rPr>
  </w:style>
  <w:style w:type="paragraph" w:styleId="26">
    <w:name w:val="Title"/>
    <w:basedOn w:val="1"/>
    <w:next w:val="1"/>
    <w:qFormat/>
    <w:uiPriority w:val="0"/>
    <w:pPr>
      <w:spacing w:before="240" w:after="60"/>
      <w:jc w:val="center"/>
      <w:outlineLvl w:val="0"/>
    </w:pPr>
    <w:rPr>
      <w:rFonts w:ascii="Cambria" w:hAnsi="Cambria"/>
      <w:b/>
      <w:bCs/>
      <w:sz w:val="32"/>
      <w:szCs w:val="32"/>
    </w:rPr>
  </w:style>
  <w:style w:type="paragraph" w:styleId="27">
    <w:name w:val="Body Text First Indent"/>
    <w:basedOn w:val="2"/>
    <w:qFormat/>
    <w:uiPriority w:val="0"/>
    <w:pPr>
      <w:tabs>
        <w:tab w:val="left" w:pos="562"/>
        <w:tab w:val="left" w:pos="3372"/>
        <w:tab w:val="left" w:pos="3653"/>
      </w:tabs>
      <w:spacing w:before="5"/>
      <w:ind w:left="227"/>
    </w:pPr>
    <w:rPr>
      <w:rFonts w:ascii="仿宋_GB2312" w:hAnsi="仿宋_GB2312" w:cs="仿宋_GB2312"/>
      <w:sz w:val="28"/>
      <w:szCs w:val="28"/>
      <w:lang w:val="zh-CN" w:bidi="zh-CN"/>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bCs/>
    </w:rPr>
  </w:style>
  <w:style w:type="character" w:styleId="32">
    <w:name w:val="Hyperlink"/>
    <w:basedOn w:val="30"/>
    <w:unhideWhenUsed/>
    <w:qFormat/>
    <w:uiPriority w:val="99"/>
    <w:rPr>
      <w:color w:val="0563C1" w:themeColor="hyperlink"/>
      <w:u w:val="single"/>
      <w14:textFill>
        <w14:solidFill>
          <w14:schemeClr w14:val="hlink"/>
        </w14:solidFill>
      </w14:textFill>
    </w:rPr>
  </w:style>
  <w:style w:type="character" w:styleId="33">
    <w:name w:val="annotation reference"/>
    <w:basedOn w:val="30"/>
    <w:qFormat/>
    <w:uiPriority w:val="0"/>
    <w:rPr>
      <w:sz w:val="21"/>
      <w:szCs w:val="21"/>
    </w:rPr>
  </w:style>
  <w:style w:type="paragraph" w:customStyle="1" w:styleId="34">
    <w:name w:val="正文文本首行缩进 21"/>
    <w:basedOn w:val="35"/>
    <w:qFormat/>
    <w:uiPriority w:val="0"/>
    <w:pPr>
      <w:spacing w:line="360" w:lineRule="auto"/>
    </w:pPr>
    <w:rPr>
      <w:sz w:val="24"/>
    </w:rPr>
  </w:style>
  <w:style w:type="paragraph" w:customStyle="1" w:styleId="35">
    <w:name w:val="正文文本缩进1"/>
    <w:basedOn w:val="1"/>
    <w:qFormat/>
    <w:uiPriority w:val="0"/>
    <w:pPr>
      <w:spacing w:line="150" w:lineRule="atLeast"/>
      <w:ind w:firstLine="420" w:firstLineChars="200"/>
      <w:textAlignment w:val="baseline"/>
    </w:pPr>
    <w:rPr>
      <w:rFonts w:ascii="Times New Roman" w:hAnsi="Times New Roman"/>
    </w:rPr>
  </w:style>
  <w:style w:type="paragraph" w:customStyle="1" w:styleId="36">
    <w:name w:val="PlainText"/>
    <w:basedOn w:val="1"/>
    <w:qFormat/>
    <w:uiPriority w:val="0"/>
    <w:rPr>
      <w:rFonts w:ascii="宋体" w:hAnsi="Courier New"/>
      <w:szCs w:val="21"/>
    </w:rPr>
  </w:style>
  <w:style w:type="character" w:customStyle="1" w:styleId="37">
    <w:name w:val="NormalCharacter"/>
    <w:qFormat/>
    <w:uiPriority w:val="0"/>
  </w:style>
  <w:style w:type="character" w:customStyle="1" w:styleId="38">
    <w:name w:val="fontstyle11"/>
    <w:basedOn w:val="30"/>
    <w:qFormat/>
    <w:uiPriority w:val="0"/>
    <w:rPr>
      <w:rFonts w:hint="default" w:ascii="E-BZ" w:hAnsi="E-BZ"/>
      <w:color w:val="000000"/>
      <w:sz w:val="30"/>
      <w:szCs w:val="30"/>
    </w:rPr>
  </w:style>
  <w:style w:type="paragraph" w:customStyle="1" w:styleId="39">
    <w:name w:val="_Style 2"/>
    <w:basedOn w:val="1"/>
    <w:qFormat/>
    <w:uiPriority w:val="34"/>
    <w:pPr>
      <w:ind w:firstLine="420" w:firstLineChars="200"/>
    </w:pPr>
    <w:rPr>
      <w:rFonts w:ascii="Times New Roman" w:hAnsi="Times New Roman"/>
    </w:rPr>
  </w:style>
  <w:style w:type="paragraph" w:customStyle="1" w:styleId="40">
    <w:name w:val="列出段落1"/>
    <w:basedOn w:val="1"/>
    <w:qFormat/>
    <w:uiPriority w:val="99"/>
    <w:pPr>
      <w:ind w:firstLine="420" w:firstLineChars="200"/>
    </w:pPr>
  </w:style>
  <w:style w:type="paragraph" w:customStyle="1" w:styleId="41">
    <w:name w:val="文件正文"/>
    <w:basedOn w:val="21"/>
    <w:next w:val="1"/>
    <w:qFormat/>
    <w:uiPriority w:val="0"/>
    <w:pPr>
      <w:spacing w:before="0" w:after="0" w:line="560" w:lineRule="exact"/>
      <w:ind w:firstLine="622" w:firstLineChars="200"/>
      <w:jc w:val="both"/>
      <w:outlineLvl w:val="9"/>
    </w:pPr>
    <w:rPr>
      <w:rFonts w:ascii="仿宋_GB2312" w:hAnsi="仿宋_GB2312" w:eastAsia="仿宋_GB2312" w:cs="仿宋_GB2312"/>
      <w:b w:val="0"/>
      <w:bCs w:val="0"/>
      <w:kern w:val="2"/>
    </w:rPr>
  </w:style>
  <w:style w:type="character" w:customStyle="1" w:styleId="42">
    <w:name w:val="15"/>
    <w:basedOn w:val="30"/>
    <w:qFormat/>
    <w:uiPriority w:val="0"/>
    <w:rPr>
      <w:rFonts w:hint="eastAsia" w:ascii="等线" w:hAnsi="等线" w:eastAsia="等线"/>
    </w:rPr>
  </w:style>
  <w:style w:type="paragraph" w:customStyle="1" w:styleId="43">
    <w:name w:val="列出段落21"/>
    <w:basedOn w:val="1"/>
    <w:qFormat/>
    <w:uiPriority w:val="99"/>
    <w:pPr>
      <w:ind w:firstLine="420" w:firstLineChars="200"/>
    </w:pPr>
  </w:style>
  <w:style w:type="character" w:customStyle="1" w:styleId="44">
    <w:name w:val="批注框文本 Char"/>
    <w:basedOn w:val="30"/>
    <w:link w:val="16"/>
    <w:qFormat/>
    <w:uiPriority w:val="0"/>
    <w:rPr>
      <w:kern w:val="2"/>
      <w:sz w:val="18"/>
      <w:szCs w:val="18"/>
    </w:rPr>
  </w:style>
  <w:style w:type="character" w:customStyle="1" w:styleId="45">
    <w:name w:val="纯文本 Char"/>
    <w:basedOn w:val="30"/>
    <w:link w:val="14"/>
    <w:qFormat/>
    <w:uiPriority w:val="0"/>
    <w:rPr>
      <w:rFonts w:ascii="宋体" w:hAnsi="Courier New" w:cs="Courier New"/>
      <w:kern w:val="2"/>
      <w:sz w:val="21"/>
      <w:szCs w:val="21"/>
    </w:rPr>
  </w:style>
  <w:style w:type="character" w:customStyle="1" w:styleId="46">
    <w:name w:val="批注文字 Char"/>
    <w:basedOn w:val="30"/>
    <w:link w:val="9"/>
    <w:qFormat/>
    <w:uiPriority w:val="0"/>
    <w:rPr>
      <w:kern w:val="2"/>
      <w:sz w:val="21"/>
      <w:szCs w:val="24"/>
    </w:rPr>
  </w:style>
  <w:style w:type="character" w:customStyle="1" w:styleId="47">
    <w:name w:val="font51"/>
    <w:basedOn w:val="30"/>
    <w:qFormat/>
    <w:uiPriority w:val="0"/>
    <w:rPr>
      <w:rFonts w:hint="eastAsia" w:ascii="仿宋_GB2312" w:eastAsia="仿宋_GB2312" w:cs="仿宋_GB2312"/>
      <w:color w:val="000000"/>
      <w:sz w:val="24"/>
      <w:szCs w:val="24"/>
      <w:u w:val="none"/>
    </w:rPr>
  </w:style>
  <w:style w:type="character" w:customStyle="1" w:styleId="48">
    <w:name w:val="font21"/>
    <w:basedOn w:val="30"/>
    <w:qFormat/>
    <w:uiPriority w:val="0"/>
    <w:rPr>
      <w:rFonts w:hint="eastAsia" w:ascii="仿宋_GB2312" w:eastAsia="仿宋_GB2312" w:cs="仿宋_GB2312"/>
      <w:color w:val="000000"/>
      <w:sz w:val="24"/>
      <w:szCs w:val="24"/>
      <w:u w:val="none"/>
      <w:vertAlign w:val="superscript"/>
    </w:rPr>
  </w:style>
  <w:style w:type="character" w:customStyle="1" w:styleId="49">
    <w:name w:val="font41"/>
    <w:basedOn w:val="30"/>
    <w:qFormat/>
    <w:uiPriority w:val="0"/>
    <w:rPr>
      <w:rFonts w:hint="eastAsia" w:ascii="仿宋_GB2312" w:eastAsia="仿宋_GB2312" w:cs="仿宋_GB2312"/>
      <w:color w:val="000000"/>
      <w:sz w:val="24"/>
      <w:szCs w:val="24"/>
      <w:u w:val="none"/>
    </w:rPr>
  </w:style>
  <w:style w:type="character" w:customStyle="1" w:styleId="50">
    <w:name w:val="font11"/>
    <w:basedOn w:val="30"/>
    <w:qFormat/>
    <w:uiPriority w:val="0"/>
    <w:rPr>
      <w:rFonts w:hint="eastAsia" w:ascii="仿宋_GB2312" w:eastAsia="仿宋_GB2312" w:cs="仿宋_GB2312"/>
      <w:color w:val="000000"/>
      <w:sz w:val="24"/>
      <w:szCs w:val="24"/>
      <w:u w:val="none"/>
      <w:vertAlign w:val="superscript"/>
    </w:rPr>
  </w:style>
  <w:style w:type="character" w:customStyle="1" w:styleId="51">
    <w:name w:val="font31"/>
    <w:basedOn w:val="30"/>
    <w:qFormat/>
    <w:uiPriority w:val="0"/>
    <w:rPr>
      <w:rFonts w:hint="eastAsia" w:ascii="宋体" w:hAnsi="宋体" w:eastAsia="宋体" w:cs="宋体"/>
      <w:color w:val="000000"/>
      <w:sz w:val="22"/>
      <w:szCs w:val="22"/>
      <w:u w:val="none"/>
    </w:rPr>
  </w:style>
  <w:style w:type="character" w:customStyle="1" w:styleId="52">
    <w:name w:val="标题 2 Char"/>
    <w:link w:val="4"/>
    <w:qFormat/>
    <w:uiPriority w:val="9"/>
    <w:rPr>
      <w:rFonts w:ascii="Arial" w:hAnsi="Arial" w:eastAsia="楷体"/>
      <w:sz w:val="32"/>
    </w:rPr>
  </w:style>
  <w:style w:type="paragraph" w:customStyle="1" w:styleId="53">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无间隔1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列出段落2"/>
    <w:basedOn w:val="1"/>
    <w:qFormat/>
    <w:uiPriority w:val="34"/>
    <w:pPr>
      <w:ind w:firstLine="420"/>
    </w:pPr>
  </w:style>
  <w:style w:type="character" w:customStyle="1" w:styleId="56">
    <w:name w:val="fontstyle01"/>
    <w:qFormat/>
    <w:uiPriority w:val="0"/>
    <w:rPr>
      <w:rFonts w:ascii="仿宋_GB2312" w:hAnsi="仿宋_GB2312" w:eastAsia="仿宋_GB2312" w:cs="仿宋_GB2312"/>
      <w:color w:val="000000"/>
      <w:sz w:val="32"/>
      <w:szCs w:val="32"/>
    </w:rPr>
  </w:style>
  <w:style w:type="paragraph" w:customStyle="1" w:styleId="57">
    <w:name w:val="样式5"/>
    <w:basedOn w:val="58"/>
    <w:qFormat/>
    <w:uiPriority w:val="0"/>
    <w:pPr>
      <w:ind w:firstLine="200"/>
      <w:outlineLvl w:val="1"/>
    </w:pPr>
  </w:style>
  <w:style w:type="paragraph" w:customStyle="1" w:styleId="58">
    <w:name w:val="样式2"/>
    <w:basedOn w:val="1"/>
    <w:qFormat/>
    <w:uiPriority w:val="0"/>
    <w:pPr>
      <w:overflowPunct w:val="0"/>
      <w:adjustRightInd w:val="0"/>
      <w:snapToGrid w:val="0"/>
      <w:spacing w:line="600" w:lineRule="exact"/>
      <w:ind w:firstLine="643" w:firstLineChars="200"/>
    </w:pPr>
    <w:rPr>
      <w:rFonts w:ascii="仿宋_GB2312" w:hAnsi="仿宋_GB2312" w:eastAsia="仿宋_GB2312" w:cs="仿宋_GB2312"/>
      <w:b/>
      <w:sz w:val="32"/>
      <w:szCs w:val="32"/>
    </w:rPr>
  </w:style>
  <w:style w:type="character" w:customStyle="1" w:styleId="59">
    <w:name w:val="bjh-p"/>
    <w:basedOn w:val="30"/>
    <w:qFormat/>
    <w:uiPriority w:val="0"/>
  </w:style>
  <w:style w:type="paragraph" w:customStyle="1" w:styleId="60">
    <w:name w:val="_Style 1"/>
    <w:qFormat/>
    <w:uiPriority w:val="34"/>
    <w:pPr>
      <w:widowControl w:val="0"/>
      <w:tabs>
        <w:tab w:val="left" w:pos="426"/>
      </w:tabs>
      <w:spacing w:line="560" w:lineRule="exact"/>
      <w:ind w:firstLine="420" w:firstLineChars="200"/>
      <w:jc w:val="both"/>
    </w:pPr>
    <w:rPr>
      <w:rFonts w:ascii="Times New Roman" w:hAnsi="Times New Roman" w:eastAsia="仿宋_GB2312" w:cs="Times New Roman"/>
      <w:kern w:val="2"/>
      <w:sz w:val="32"/>
      <w:lang w:val="en-US" w:eastAsia="zh-CN" w:bidi="ar-SA"/>
    </w:rPr>
  </w:style>
  <w:style w:type="paragraph" w:customStyle="1" w:styleId="61">
    <w:name w:val="修订1"/>
    <w:hidden/>
    <w:unhideWhenUsed/>
    <w:qFormat/>
    <w:uiPriority w:val="99"/>
    <w:rPr>
      <w:rFonts w:ascii="Calibri" w:hAnsi="Calibri" w:eastAsia="宋体" w:cs="Times New Roman"/>
      <w:kern w:val="2"/>
      <w:sz w:val="21"/>
      <w:szCs w:val="24"/>
      <w:lang w:val="en-US" w:eastAsia="zh-CN" w:bidi="ar-SA"/>
    </w:rPr>
  </w:style>
  <w:style w:type="paragraph" w:customStyle="1" w:styleId="62">
    <w:name w:val="样式4"/>
    <w:basedOn w:val="63"/>
    <w:qFormat/>
    <w:uiPriority w:val="0"/>
  </w:style>
  <w:style w:type="paragraph" w:customStyle="1" w:styleId="63">
    <w:name w:val="民政"/>
    <w:basedOn w:val="1"/>
    <w:next w:val="1"/>
    <w:qFormat/>
    <w:uiPriority w:val="0"/>
    <w:pPr>
      <w:ind w:firstLine="480"/>
    </w:pPr>
    <w:rPr>
      <w:rFonts w:ascii="宋体" w:hAnsi="宋体"/>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C58DD1-3066-4EDC-9E10-76A30E445C83}">
  <ds:schemaRefs/>
</ds:datastoreItem>
</file>

<file path=docProps/app.xml><?xml version="1.0" encoding="utf-8"?>
<Properties xmlns="http://schemas.openxmlformats.org/officeDocument/2006/extended-properties" xmlns:vt="http://schemas.openxmlformats.org/officeDocument/2006/docPropsVTypes">
  <Template>Normal</Template>
  <Pages>130</Pages>
  <Words>66500</Words>
  <Characters>67161</Characters>
  <Lines>525</Lines>
  <Paragraphs>147</Paragraphs>
  <TotalTime>2</TotalTime>
  <ScaleCrop>false</ScaleCrop>
  <LinksUpToDate>false</LinksUpToDate>
  <CharactersWithSpaces>67501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2021-05-28T03:07:00Z</dcterms:created>
  <dc:creator>SZDCR</dc:creator>
  <cp:lastModifiedBy>User</cp:lastModifiedBy>
  <cp:lastPrinted>2021-05-10T09:45:00Z</cp:lastPrinted>
  <dcterms:modified xsi:type="dcterms:W3CDTF">2022-10-20T08:34:11Z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D74E2CC6E1354D7AAAD201B29AB7B278</vt:lpwstr>
  </property>
</Properties>
</file>